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3F" w:rsidRPr="002F483F" w:rsidRDefault="002F483F" w:rsidP="00A264DF">
      <w:pPr>
        <w:spacing w:line="360" w:lineRule="auto"/>
        <w:rPr>
          <w:rFonts w:ascii="Arial" w:hAnsi="Arial" w:cs="Arial"/>
          <w:b/>
        </w:rPr>
      </w:pPr>
      <w:r w:rsidRPr="002F483F">
        <w:rPr>
          <w:rFonts w:ascii="Arial" w:hAnsi="Arial" w:cs="Arial"/>
          <w:b/>
        </w:rPr>
        <w:t>Küchenmöbel 2016 weiter Wachstumstreiber</w:t>
      </w:r>
    </w:p>
    <w:p w:rsidR="002F483F" w:rsidRDefault="002F483F" w:rsidP="00A264DF">
      <w:pPr>
        <w:spacing w:line="360" w:lineRule="auto"/>
        <w:rPr>
          <w:rFonts w:ascii="Arial" w:hAnsi="Arial" w:cs="Arial"/>
          <w:b/>
          <w:sz w:val="22"/>
          <w:szCs w:val="22"/>
        </w:rPr>
      </w:pPr>
    </w:p>
    <w:p w:rsidR="002F483F" w:rsidRPr="002F483F" w:rsidRDefault="002F483F" w:rsidP="00A264DF">
      <w:pPr>
        <w:spacing w:line="360" w:lineRule="auto"/>
        <w:rPr>
          <w:rFonts w:ascii="Arial" w:hAnsi="Arial" w:cs="Arial"/>
          <w:b/>
        </w:rPr>
      </w:pPr>
      <w:r>
        <w:rPr>
          <w:rFonts w:ascii="Arial" w:hAnsi="Arial" w:cs="Arial"/>
          <w:b/>
        </w:rPr>
        <w:t>Produktion bei Polster und Wohnen wandert ins Ausland</w:t>
      </w:r>
    </w:p>
    <w:p w:rsidR="002F483F" w:rsidRDefault="002F483F" w:rsidP="00A264DF">
      <w:pPr>
        <w:spacing w:line="360" w:lineRule="auto"/>
        <w:rPr>
          <w:rFonts w:ascii="Arial" w:hAnsi="Arial" w:cs="Arial"/>
          <w:b/>
          <w:sz w:val="22"/>
          <w:szCs w:val="22"/>
        </w:rPr>
      </w:pPr>
    </w:p>
    <w:p w:rsidR="00A264DF" w:rsidRPr="002F483F" w:rsidRDefault="00A264DF" w:rsidP="00A264DF">
      <w:pPr>
        <w:spacing w:line="360" w:lineRule="auto"/>
        <w:rPr>
          <w:rFonts w:ascii="Arial" w:hAnsi="Arial" w:cs="Arial"/>
          <w:b/>
          <w:sz w:val="22"/>
          <w:szCs w:val="22"/>
        </w:rPr>
      </w:pPr>
      <w:r w:rsidRPr="002F483F">
        <w:rPr>
          <w:rFonts w:ascii="Arial" w:hAnsi="Arial" w:cs="Arial"/>
          <w:b/>
          <w:sz w:val="22"/>
          <w:szCs w:val="22"/>
        </w:rPr>
        <w:t xml:space="preserve">Ein differenziertes Bild zeichnen die Fachverbände der Möbelindustrie (Verband der Deutschen Küchenmöbelindustrie, Verband der Deutschen Polstermöbelindustrie und Verband der Deutschen Wohnmöbelindustrie) bei Veröffentlichung der statistischen Zahlen für das Gesamtjahr 2016. Nach Angaben von Geschäftsführer Dr. </w:t>
      </w:r>
      <w:r w:rsidR="00BE626D" w:rsidRPr="002F483F">
        <w:rPr>
          <w:rFonts w:ascii="Arial" w:hAnsi="Arial" w:cs="Arial"/>
          <w:b/>
          <w:sz w:val="22"/>
          <w:szCs w:val="22"/>
        </w:rPr>
        <w:t xml:space="preserve">Lucas </w:t>
      </w:r>
      <w:r w:rsidRPr="002F483F">
        <w:rPr>
          <w:rFonts w:ascii="Arial" w:hAnsi="Arial" w:cs="Arial"/>
          <w:b/>
          <w:sz w:val="22"/>
          <w:szCs w:val="22"/>
        </w:rPr>
        <w:t xml:space="preserve">Heumann ist die </w:t>
      </w:r>
      <w:r w:rsidR="00BE626D" w:rsidRPr="002F483F">
        <w:rPr>
          <w:rFonts w:ascii="Arial" w:hAnsi="Arial" w:cs="Arial"/>
          <w:b/>
          <w:sz w:val="22"/>
          <w:szCs w:val="22"/>
        </w:rPr>
        <w:t xml:space="preserve">wirtschaftliche </w:t>
      </w:r>
      <w:r w:rsidRPr="002F483F">
        <w:rPr>
          <w:rFonts w:ascii="Arial" w:hAnsi="Arial" w:cs="Arial"/>
          <w:b/>
          <w:sz w:val="22"/>
          <w:szCs w:val="22"/>
        </w:rPr>
        <w:t xml:space="preserve">Entwicklung in den einzelnen Teilsparten unterschiedlich verlaufen, insbesondere </w:t>
      </w:r>
      <w:r w:rsidR="00BE626D" w:rsidRPr="002F483F">
        <w:rPr>
          <w:rFonts w:ascii="Arial" w:hAnsi="Arial" w:cs="Arial"/>
          <w:b/>
          <w:sz w:val="22"/>
          <w:szCs w:val="22"/>
        </w:rPr>
        <w:t xml:space="preserve">mit Blick auf </w:t>
      </w:r>
      <w:r w:rsidRPr="002F483F">
        <w:rPr>
          <w:rFonts w:ascii="Arial" w:hAnsi="Arial" w:cs="Arial"/>
          <w:b/>
          <w:sz w:val="22"/>
          <w:szCs w:val="22"/>
        </w:rPr>
        <w:t>den Stellenwert von Inla</w:t>
      </w:r>
      <w:r w:rsidR="00BE626D" w:rsidRPr="002F483F">
        <w:rPr>
          <w:rFonts w:ascii="Arial" w:hAnsi="Arial" w:cs="Arial"/>
          <w:b/>
          <w:sz w:val="22"/>
          <w:szCs w:val="22"/>
        </w:rPr>
        <w:t>nds- und Auslandsgeschäft</w:t>
      </w:r>
      <w:r w:rsidRPr="002F483F">
        <w:rPr>
          <w:rFonts w:ascii="Arial" w:hAnsi="Arial" w:cs="Arial"/>
          <w:b/>
          <w:sz w:val="22"/>
          <w:szCs w:val="22"/>
        </w:rPr>
        <w:t>.</w:t>
      </w:r>
    </w:p>
    <w:p w:rsidR="00A264DF" w:rsidRPr="00A264DF" w:rsidRDefault="00A264DF" w:rsidP="00A264DF">
      <w:pPr>
        <w:spacing w:line="360" w:lineRule="auto"/>
        <w:rPr>
          <w:rFonts w:ascii="Arial" w:hAnsi="Arial" w:cs="Arial"/>
          <w:sz w:val="22"/>
          <w:szCs w:val="22"/>
        </w:rPr>
      </w:pPr>
    </w:p>
    <w:p w:rsidR="00A264DF" w:rsidRPr="00A264DF" w:rsidRDefault="00A264DF" w:rsidP="00A264DF">
      <w:pPr>
        <w:spacing w:line="360" w:lineRule="auto"/>
        <w:rPr>
          <w:rFonts w:ascii="Arial" w:hAnsi="Arial" w:cs="Arial"/>
          <w:sz w:val="22"/>
          <w:szCs w:val="22"/>
        </w:rPr>
      </w:pPr>
      <w:r w:rsidRPr="00A264DF">
        <w:rPr>
          <w:rFonts w:ascii="Arial" w:hAnsi="Arial" w:cs="Arial"/>
          <w:sz w:val="22"/>
          <w:szCs w:val="22"/>
        </w:rPr>
        <w:t xml:space="preserve">Im Küchenmöbelsektor </w:t>
      </w:r>
      <w:r w:rsidR="00BE626D">
        <w:rPr>
          <w:rFonts w:ascii="Arial" w:hAnsi="Arial" w:cs="Arial"/>
          <w:sz w:val="22"/>
          <w:szCs w:val="22"/>
        </w:rPr>
        <w:t xml:space="preserve">sind </w:t>
      </w:r>
      <w:r w:rsidRPr="00A264DF">
        <w:rPr>
          <w:rFonts w:ascii="Arial" w:hAnsi="Arial" w:cs="Arial"/>
          <w:sz w:val="22"/>
          <w:szCs w:val="22"/>
        </w:rPr>
        <w:t xml:space="preserve">unverändert </w:t>
      </w:r>
      <w:r w:rsidR="00BE626D">
        <w:rPr>
          <w:rFonts w:ascii="Arial" w:hAnsi="Arial" w:cs="Arial"/>
          <w:sz w:val="22"/>
          <w:szCs w:val="22"/>
        </w:rPr>
        <w:t xml:space="preserve">die Ausfuhren </w:t>
      </w:r>
      <w:r w:rsidRPr="00A264DF">
        <w:rPr>
          <w:rFonts w:ascii="Arial" w:hAnsi="Arial" w:cs="Arial"/>
          <w:sz w:val="22"/>
          <w:szCs w:val="22"/>
        </w:rPr>
        <w:t>der Motor des wirtschaf</w:t>
      </w:r>
      <w:r w:rsidR="00BE626D">
        <w:rPr>
          <w:rFonts w:ascii="Arial" w:hAnsi="Arial" w:cs="Arial"/>
          <w:sz w:val="22"/>
          <w:szCs w:val="22"/>
        </w:rPr>
        <w:t>tlichen Wachstums</w:t>
      </w:r>
      <w:r w:rsidRPr="00A264DF">
        <w:rPr>
          <w:rFonts w:ascii="Arial" w:hAnsi="Arial" w:cs="Arial"/>
          <w:sz w:val="22"/>
          <w:szCs w:val="22"/>
        </w:rPr>
        <w:t xml:space="preserve">. So konnte die deutsche Küchenmöbelindustrie die </w:t>
      </w:r>
      <w:r w:rsidR="00BE626D">
        <w:rPr>
          <w:rFonts w:ascii="Arial" w:hAnsi="Arial" w:cs="Arial"/>
          <w:sz w:val="22"/>
          <w:szCs w:val="22"/>
        </w:rPr>
        <w:t>Export-</w:t>
      </w:r>
      <w:r w:rsidRPr="00A264DF">
        <w:rPr>
          <w:rFonts w:ascii="Arial" w:hAnsi="Arial" w:cs="Arial"/>
          <w:sz w:val="22"/>
          <w:szCs w:val="22"/>
        </w:rPr>
        <w:t xml:space="preserve">Auftragseingänge im Gesamtjahr 2016 </w:t>
      </w:r>
      <w:r w:rsidR="00BE626D">
        <w:rPr>
          <w:rFonts w:ascii="Arial" w:hAnsi="Arial" w:cs="Arial"/>
          <w:sz w:val="22"/>
          <w:szCs w:val="22"/>
        </w:rPr>
        <w:t>wertmäßig u</w:t>
      </w:r>
      <w:r w:rsidRPr="00A264DF">
        <w:rPr>
          <w:rFonts w:ascii="Arial" w:hAnsi="Arial" w:cs="Arial"/>
          <w:sz w:val="22"/>
          <w:szCs w:val="22"/>
        </w:rPr>
        <w:t>m 10,4</w:t>
      </w:r>
      <w:r w:rsidR="00BE626D">
        <w:rPr>
          <w:rFonts w:ascii="Arial" w:hAnsi="Arial" w:cs="Arial"/>
          <w:sz w:val="22"/>
          <w:szCs w:val="22"/>
        </w:rPr>
        <w:t> </w:t>
      </w:r>
      <w:r w:rsidRPr="00A264DF">
        <w:rPr>
          <w:rFonts w:ascii="Arial" w:hAnsi="Arial" w:cs="Arial"/>
          <w:sz w:val="22"/>
          <w:szCs w:val="22"/>
        </w:rPr>
        <w:t xml:space="preserve">% steigern. </w:t>
      </w:r>
      <w:r w:rsidR="00BE626D">
        <w:rPr>
          <w:rFonts w:ascii="Arial" w:hAnsi="Arial" w:cs="Arial"/>
          <w:sz w:val="22"/>
          <w:szCs w:val="22"/>
        </w:rPr>
        <w:t xml:space="preserve">Dr. </w:t>
      </w:r>
      <w:r w:rsidRPr="00A264DF">
        <w:rPr>
          <w:rFonts w:ascii="Arial" w:hAnsi="Arial" w:cs="Arial"/>
          <w:sz w:val="22"/>
          <w:szCs w:val="22"/>
        </w:rPr>
        <w:t xml:space="preserve">Heumann: „Der zweistellige Zuwachs der Auftragseingänge für die deutsche Küchenmöbelindustrie aus dem Ausland ist Spiegelbild der </w:t>
      </w:r>
      <w:r w:rsidR="00BE626D">
        <w:rPr>
          <w:rFonts w:ascii="Arial" w:hAnsi="Arial" w:cs="Arial"/>
          <w:sz w:val="22"/>
          <w:szCs w:val="22"/>
        </w:rPr>
        <w:t xml:space="preserve">hohen </w:t>
      </w:r>
      <w:r w:rsidRPr="00A264DF">
        <w:rPr>
          <w:rFonts w:ascii="Arial" w:hAnsi="Arial" w:cs="Arial"/>
          <w:sz w:val="22"/>
          <w:szCs w:val="22"/>
        </w:rPr>
        <w:t xml:space="preserve">Leistungsfähigkeit unserer Branche im internationalen Vergleich. Die deutsche Küchenmöbelindustrie verbindet demnach Produktivität, Kostenführerschaft, Designkompetenz, logistische Perfektion </w:t>
      </w:r>
      <w:r w:rsidR="00BE626D">
        <w:rPr>
          <w:rFonts w:ascii="Arial" w:hAnsi="Arial" w:cs="Arial"/>
          <w:sz w:val="22"/>
          <w:szCs w:val="22"/>
        </w:rPr>
        <w:t xml:space="preserve">sowie </w:t>
      </w:r>
      <w:r w:rsidRPr="00A264DF">
        <w:rPr>
          <w:rFonts w:ascii="Arial" w:hAnsi="Arial" w:cs="Arial"/>
          <w:sz w:val="22"/>
          <w:szCs w:val="22"/>
        </w:rPr>
        <w:t xml:space="preserve">einen hohen Servicestandard und hebt sich dabei deutlich von internationalen Wettbewerbern ab. Damit konnten wir unsere Marktanteile </w:t>
      </w:r>
      <w:r w:rsidR="00BE626D">
        <w:rPr>
          <w:rFonts w:ascii="Arial" w:hAnsi="Arial" w:cs="Arial"/>
          <w:sz w:val="22"/>
          <w:szCs w:val="22"/>
        </w:rPr>
        <w:t xml:space="preserve">sogar </w:t>
      </w:r>
      <w:r w:rsidRPr="00A264DF">
        <w:rPr>
          <w:rFonts w:ascii="Arial" w:hAnsi="Arial" w:cs="Arial"/>
          <w:sz w:val="22"/>
          <w:szCs w:val="22"/>
        </w:rPr>
        <w:t xml:space="preserve">in </w:t>
      </w:r>
      <w:r w:rsidR="00BE626D">
        <w:rPr>
          <w:rFonts w:ascii="Arial" w:hAnsi="Arial" w:cs="Arial"/>
          <w:sz w:val="22"/>
          <w:szCs w:val="22"/>
        </w:rPr>
        <w:t xml:space="preserve">Ländern bzw. </w:t>
      </w:r>
      <w:r w:rsidRPr="00A264DF">
        <w:rPr>
          <w:rFonts w:ascii="Arial" w:hAnsi="Arial" w:cs="Arial"/>
          <w:sz w:val="22"/>
          <w:szCs w:val="22"/>
        </w:rPr>
        <w:t>Regionen steigern, die entweder überhaupt nicht oder nur geringfügig wachsen.“</w:t>
      </w:r>
    </w:p>
    <w:p w:rsidR="00A264DF" w:rsidRPr="00A264DF" w:rsidRDefault="00A264DF" w:rsidP="00A264DF">
      <w:pPr>
        <w:spacing w:line="360" w:lineRule="auto"/>
        <w:rPr>
          <w:rFonts w:ascii="Arial" w:hAnsi="Arial" w:cs="Arial"/>
          <w:sz w:val="22"/>
          <w:szCs w:val="22"/>
        </w:rPr>
      </w:pPr>
    </w:p>
    <w:p w:rsidR="002F483F" w:rsidRPr="002F483F" w:rsidRDefault="002F483F" w:rsidP="00A264DF">
      <w:pPr>
        <w:spacing w:line="360" w:lineRule="auto"/>
        <w:rPr>
          <w:rFonts w:ascii="Arial" w:hAnsi="Arial" w:cs="Arial"/>
          <w:b/>
          <w:sz w:val="22"/>
          <w:szCs w:val="22"/>
        </w:rPr>
      </w:pPr>
      <w:r w:rsidRPr="002F483F">
        <w:rPr>
          <w:rFonts w:ascii="Arial" w:hAnsi="Arial" w:cs="Arial"/>
          <w:b/>
          <w:sz w:val="22"/>
          <w:szCs w:val="22"/>
        </w:rPr>
        <w:t xml:space="preserve">Inlandsnachfrage nach deutschen Küchen vor </w:t>
      </w:r>
      <w:r>
        <w:rPr>
          <w:rFonts w:ascii="Arial" w:hAnsi="Arial" w:cs="Arial"/>
          <w:b/>
          <w:sz w:val="22"/>
          <w:szCs w:val="22"/>
        </w:rPr>
        <w:t xml:space="preserve">dem </w:t>
      </w:r>
      <w:r w:rsidRPr="002F483F">
        <w:rPr>
          <w:rFonts w:ascii="Arial" w:hAnsi="Arial" w:cs="Arial"/>
          <w:b/>
          <w:sz w:val="22"/>
          <w:szCs w:val="22"/>
        </w:rPr>
        <w:t>Durchstarten</w:t>
      </w:r>
    </w:p>
    <w:p w:rsidR="002F483F" w:rsidRDefault="002F483F" w:rsidP="00A264DF">
      <w:pPr>
        <w:spacing w:line="360" w:lineRule="auto"/>
        <w:rPr>
          <w:rFonts w:ascii="Arial" w:hAnsi="Arial" w:cs="Arial"/>
          <w:sz w:val="22"/>
          <w:szCs w:val="22"/>
        </w:rPr>
      </w:pPr>
    </w:p>
    <w:p w:rsidR="002F483F" w:rsidRDefault="00A264DF" w:rsidP="00A264DF">
      <w:pPr>
        <w:spacing w:line="360" w:lineRule="auto"/>
        <w:rPr>
          <w:rFonts w:ascii="Arial" w:hAnsi="Arial" w:cs="Arial"/>
          <w:sz w:val="22"/>
          <w:szCs w:val="22"/>
        </w:rPr>
      </w:pPr>
      <w:r w:rsidRPr="00A264DF">
        <w:rPr>
          <w:rFonts w:ascii="Arial" w:hAnsi="Arial" w:cs="Arial"/>
          <w:sz w:val="22"/>
          <w:szCs w:val="22"/>
        </w:rPr>
        <w:t xml:space="preserve">Etwas ernüchternder fällt demgegenüber die Bilanz für das Inlandsgeschäft aus. Hier konnte die deutsche Küchenmöbelindustrie die </w:t>
      </w:r>
      <w:r w:rsidRPr="00A264DF">
        <w:rPr>
          <w:rFonts w:ascii="Arial" w:hAnsi="Arial" w:cs="Arial"/>
          <w:sz w:val="22"/>
          <w:szCs w:val="22"/>
        </w:rPr>
        <w:lastRenderedPageBreak/>
        <w:t>Auftragseingänge zwar steigern, allerdings „nur“ um 1,8</w:t>
      </w:r>
      <w:r w:rsidR="00BE626D">
        <w:rPr>
          <w:rFonts w:ascii="Arial" w:hAnsi="Arial" w:cs="Arial"/>
          <w:sz w:val="22"/>
          <w:szCs w:val="22"/>
        </w:rPr>
        <w:t> </w:t>
      </w:r>
      <w:r w:rsidRPr="00A264DF">
        <w:rPr>
          <w:rFonts w:ascii="Arial" w:hAnsi="Arial" w:cs="Arial"/>
          <w:sz w:val="22"/>
          <w:szCs w:val="22"/>
        </w:rPr>
        <w:t xml:space="preserve">%. Das </w:t>
      </w:r>
      <w:r w:rsidR="00BE626D">
        <w:rPr>
          <w:rFonts w:ascii="Arial" w:hAnsi="Arial" w:cs="Arial"/>
          <w:sz w:val="22"/>
          <w:szCs w:val="22"/>
        </w:rPr>
        <w:t xml:space="preserve">Ungleichgewicht von In- und </w:t>
      </w:r>
      <w:r w:rsidRPr="00A264DF">
        <w:rPr>
          <w:rFonts w:ascii="Arial" w:hAnsi="Arial" w:cs="Arial"/>
          <w:sz w:val="22"/>
          <w:szCs w:val="22"/>
        </w:rPr>
        <w:t>A</w:t>
      </w:r>
      <w:r w:rsidR="00BE626D">
        <w:rPr>
          <w:rFonts w:ascii="Arial" w:hAnsi="Arial" w:cs="Arial"/>
          <w:sz w:val="22"/>
          <w:szCs w:val="22"/>
        </w:rPr>
        <w:t>uslandsgeschäften</w:t>
      </w:r>
      <w:r w:rsidRPr="00A264DF">
        <w:rPr>
          <w:rFonts w:ascii="Arial" w:hAnsi="Arial" w:cs="Arial"/>
          <w:sz w:val="22"/>
          <w:szCs w:val="22"/>
        </w:rPr>
        <w:t xml:space="preserve"> wird auch durch die Ergebnisse der Amtlichen Statistik des Statistischen Bundesamtes wiedergegeben</w:t>
      </w:r>
      <w:r w:rsidR="002F483F">
        <w:rPr>
          <w:rFonts w:ascii="Arial" w:hAnsi="Arial" w:cs="Arial"/>
          <w:sz w:val="22"/>
          <w:szCs w:val="22"/>
        </w:rPr>
        <w:t>.</w:t>
      </w:r>
    </w:p>
    <w:p w:rsidR="002F483F" w:rsidRDefault="002F483F" w:rsidP="00A264DF">
      <w:pPr>
        <w:spacing w:line="360" w:lineRule="auto"/>
        <w:rPr>
          <w:rFonts w:ascii="Arial" w:hAnsi="Arial" w:cs="Arial"/>
          <w:sz w:val="22"/>
          <w:szCs w:val="22"/>
        </w:rPr>
      </w:pPr>
    </w:p>
    <w:p w:rsidR="00A264DF" w:rsidRPr="00A264DF" w:rsidRDefault="00BE626D" w:rsidP="00A264DF">
      <w:pPr>
        <w:spacing w:line="360" w:lineRule="auto"/>
        <w:rPr>
          <w:rFonts w:ascii="Arial" w:hAnsi="Arial" w:cs="Arial"/>
          <w:sz w:val="22"/>
          <w:szCs w:val="22"/>
        </w:rPr>
      </w:pPr>
      <w:r>
        <w:rPr>
          <w:rFonts w:ascii="Arial" w:hAnsi="Arial" w:cs="Arial"/>
          <w:sz w:val="22"/>
          <w:szCs w:val="22"/>
        </w:rPr>
        <w:t xml:space="preserve">Danach </w:t>
      </w:r>
      <w:r w:rsidR="00A264DF" w:rsidRPr="00A264DF">
        <w:rPr>
          <w:rFonts w:ascii="Arial" w:hAnsi="Arial" w:cs="Arial"/>
          <w:sz w:val="22"/>
          <w:szCs w:val="22"/>
        </w:rPr>
        <w:t xml:space="preserve">sind die Umsätze der </w:t>
      </w:r>
      <w:r>
        <w:rPr>
          <w:rFonts w:ascii="Arial" w:hAnsi="Arial" w:cs="Arial"/>
          <w:sz w:val="22"/>
          <w:szCs w:val="22"/>
        </w:rPr>
        <w:t xml:space="preserve">Küchenmöbelindustrie </w:t>
      </w:r>
      <w:r w:rsidR="00A264DF" w:rsidRPr="00A264DF">
        <w:rPr>
          <w:rFonts w:ascii="Arial" w:hAnsi="Arial" w:cs="Arial"/>
          <w:sz w:val="22"/>
          <w:szCs w:val="22"/>
        </w:rPr>
        <w:t xml:space="preserve">im gleichen Zeitraum </w:t>
      </w:r>
      <w:r>
        <w:rPr>
          <w:rFonts w:ascii="Arial" w:hAnsi="Arial" w:cs="Arial"/>
          <w:sz w:val="22"/>
          <w:szCs w:val="22"/>
        </w:rPr>
        <w:t xml:space="preserve">im </w:t>
      </w:r>
      <w:r w:rsidR="00A264DF" w:rsidRPr="00A264DF">
        <w:rPr>
          <w:rFonts w:ascii="Arial" w:hAnsi="Arial" w:cs="Arial"/>
          <w:sz w:val="22"/>
          <w:szCs w:val="22"/>
        </w:rPr>
        <w:t>Ausland</w:t>
      </w:r>
      <w:r>
        <w:rPr>
          <w:rFonts w:ascii="Arial" w:hAnsi="Arial" w:cs="Arial"/>
          <w:sz w:val="22"/>
          <w:szCs w:val="22"/>
        </w:rPr>
        <w:t xml:space="preserve"> </w:t>
      </w:r>
      <w:r w:rsidR="00A264DF" w:rsidRPr="00A264DF">
        <w:rPr>
          <w:rFonts w:ascii="Arial" w:hAnsi="Arial" w:cs="Arial"/>
          <w:sz w:val="22"/>
          <w:szCs w:val="22"/>
        </w:rPr>
        <w:t>um 9,3</w:t>
      </w:r>
      <w:r>
        <w:rPr>
          <w:rFonts w:ascii="Arial" w:hAnsi="Arial" w:cs="Arial"/>
          <w:sz w:val="22"/>
          <w:szCs w:val="22"/>
        </w:rPr>
        <w:t> </w:t>
      </w:r>
      <w:r w:rsidR="00A264DF" w:rsidRPr="00A264DF">
        <w:rPr>
          <w:rFonts w:ascii="Arial" w:hAnsi="Arial" w:cs="Arial"/>
          <w:sz w:val="22"/>
          <w:szCs w:val="22"/>
        </w:rPr>
        <w:t xml:space="preserve">% gewachsen, die Umsätze </w:t>
      </w:r>
      <w:r>
        <w:rPr>
          <w:rFonts w:ascii="Arial" w:hAnsi="Arial" w:cs="Arial"/>
          <w:sz w:val="22"/>
          <w:szCs w:val="22"/>
        </w:rPr>
        <w:t xml:space="preserve">im </w:t>
      </w:r>
      <w:r w:rsidR="00A264DF" w:rsidRPr="00A264DF">
        <w:rPr>
          <w:rFonts w:ascii="Arial" w:hAnsi="Arial" w:cs="Arial"/>
          <w:sz w:val="22"/>
          <w:szCs w:val="22"/>
        </w:rPr>
        <w:t>Inland demge</w:t>
      </w:r>
      <w:r>
        <w:rPr>
          <w:rFonts w:ascii="Arial" w:hAnsi="Arial" w:cs="Arial"/>
          <w:sz w:val="22"/>
          <w:szCs w:val="22"/>
        </w:rPr>
        <w:t>genüber nur geringfügig um 1,5 </w:t>
      </w:r>
      <w:r w:rsidR="00A264DF" w:rsidRPr="00A264DF">
        <w:rPr>
          <w:rFonts w:ascii="Arial" w:hAnsi="Arial" w:cs="Arial"/>
          <w:sz w:val="22"/>
          <w:szCs w:val="22"/>
        </w:rPr>
        <w:t xml:space="preserve">%. </w:t>
      </w:r>
      <w:r>
        <w:rPr>
          <w:rFonts w:ascii="Arial" w:hAnsi="Arial" w:cs="Arial"/>
          <w:sz w:val="22"/>
          <w:szCs w:val="22"/>
        </w:rPr>
        <w:t xml:space="preserve">Nach Worten von </w:t>
      </w:r>
      <w:r w:rsidR="00A264DF" w:rsidRPr="00A264DF">
        <w:rPr>
          <w:rFonts w:ascii="Arial" w:hAnsi="Arial" w:cs="Arial"/>
          <w:sz w:val="22"/>
          <w:szCs w:val="22"/>
        </w:rPr>
        <w:t xml:space="preserve">Dr. Heumann </w:t>
      </w:r>
      <w:r>
        <w:rPr>
          <w:rFonts w:ascii="Arial" w:hAnsi="Arial" w:cs="Arial"/>
          <w:sz w:val="22"/>
          <w:szCs w:val="22"/>
        </w:rPr>
        <w:t xml:space="preserve">trat </w:t>
      </w:r>
      <w:r w:rsidR="00A264DF" w:rsidRPr="00A264DF">
        <w:rPr>
          <w:rFonts w:ascii="Arial" w:hAnsi="Arial" w:cs="Arial"/>
          <w:sz w:val="22"/>
          <w:szCs w:val="22"/>
        </w:rPr>
        <w:t>die Konjunkturabschwächung des Inlandsgeschäfts im 2.</w:t>
      </w:r>
      <w:r>
        <w:rPr>
          <w:rFonts w:ascii="Arial" w:hAnsi="Arial" w:cs="Arial"/>
          <w:sz w:val="22"/>
          <w:szCs w:val="22"/>
        </w:rPr>
        <w:t> </w:t>
      </w:r>
      <w:r w:rsidR="00A264DF" w:rsidRPr="00A264DF">
        <w:rPr>
          <w:rFonts w:ascii="Arial" w:hAnsi="Arial" w:cs="Arial"/>
          <w:sz w:val="22"/>
          <w:szCs w:val="22"/>
        </w:rPr>
        <w:t>Halbjahr ein</w:t>
      </w:r>
      <w:r w:rsidR="00FF2813">
        <w:rPr>
          <w:rFonts w:ascii="Arial" w:hAnsi="Arial" w:cs="Arial"/>
          <w:sz w:val="22"/>
          <w:szCs w:val="22"/>
        </w:rPr>
        <w:t xml:space="preserve"> –</w:t>
      </w:r>
      <w:r w:rsidR="00A264DF" w:rsidRPr="00A264DF">
        <w:rPr>
          <w:rFonts w:ascii="Arial" w:hAnsi="Arial" w:cs="Arial"/>
          <w:sz w:val="22"/>
          <w:szCs w:val="22"/>
        </w:rPr>
        <w:t xml:space="preserve"> </w:t>
      </w:r>
      <w:r>
        <w:rPr>
          <w:rFonts w:ascii="Arial" w:hAnsi="Arial" w:cs="Arial"/>
          <w:sz w:val="22"/>
          <w:szCs w:val="22"/>
        </w:rPr>
        <w:t>Mitte des Jahres 2016 lag</w:t>
      </w:r>
      <w:r w:rsidR="00A264DF" w:rsidRPr="00A264DF">
        <w:rPr>
          <w:rFonts w:ascii="Arial" w:hAnsi="Arial" w:cs="Arial"/>
          <w:sz w:val="22"/>
          <w:szCs w:val="22"/>
        </w:rPr>
        <w:t xml:space="preserve"> </w:t>
      </w:r>
      <w:r>
        <w:rPr>
          <w:rFonts w:ascii="Arial" w:hAnsi="Arial" w:cs="Arial"/>
          <w:sz w:val="22"/>
          <w:szCs w:val="22"/>
        </w:rPr>
        <w:t xml:space="preserve">der Umsatzzuwachs </w:t>
      </w:r>
      <w:r w:rsidR="00A264DF" w:rsidRPr="00A264DF">
        <w:rPr>
          <w:rFonts w:ascii="Arial" w:hAnsi="Arial" w:cs="Arial"/>
          <w:sz w:val="22"/>
          <w:szCs w:val="22"/>
        </w:rPr>
        <w:t>der deutschen Küchenmöbelindustrie im Inland noch bei 5,1</w:t>
      </w:r>
      <w:r>
        <w:rPr>
          <w:rFonts w:ascii="Arial" w:hAnsi="Arial" w:cs="Arial"/>
          <w:sz w:val="22"/>
          <w:szCs w:val="22"/>
        </w:rPr>
        <w:t> </w:t>
      </w:r>
      <w:r w:rsidR="00A264DF" w:rsidRPr="00A264DF">
        <w:rPr>
          <w:rFonts w:ascii="Arial" w:hAnsi="Arial" w:cs="Arial"/>
          <w:sz w:val="22"/>
          <w:szCs w:val="22"/>
        </w:rPr>
        <w:t>%. Diese</w:t>
      </w:r>
      <w:r>
        <w:rPr>
          <w:rFonts w:ascii="Arial" w:hAnsi="Arial" w:cs="Arial"/>
          <w:sz w:val="22"/>
          <w:szCs w:val="22"/>
        </w:rPr>
        <w:t xml:space="preserve"> Steigerung zum Vorjahreszeitraum </w:t>
      </w:r>
      <w:r w:rsidR="00A264DF" w:rsidRPr="00A264DF">
        <w:rPr>
          <w:rFonts w:ascii="Arial" w:hAnsi="Arial" w:cs="Arial"/>
          <w:sz w:val="22"/>
          <w:szCs w:val="22"/>
        </w:rPr>
        <w:t>wurde dann im Laufe des 2.</w:t>
      </w:r>
      <w:r>
        <w:rPr>
          <w:rFonts w:ascii="Arial" w:hAnsi="Arial" w:cs="Arial"/>
          <w:sz w:val="22"/>
          <w:szCs w:val="22"/>
        </w:rPr>
        <w:t> </w:t>
      </w:r>
      <w:r w:rsidR="00A264DF" w:rsidRPr="00A264DF">
        <w:rPr>
          <w:rFonts w:ascii="Arial" w:hAnsi="Arial" w:cs="Arial"/>
          <w:sz w:val="22"/>
          <w:szCs w:val="22"/>
        </w:rPr>
        <w:t xml:space="preserve">Halbjahres „abgeschmolzen“ mit dem bekannten Ergebnis eines </w:t>
      </w:r>
      <w:r w:rsidR="002F483F">
        <w:rPr>
          <w:rFonts w:ascii="Arial" w:hAnsi="Arial" w:cs="Arial"/>
          <w:sz w:val="22"/>
          <w:szCs w:val="22"/>
        </w:rPr>
        <w:t>Gesamtz</w:t>
      </w:r>
      <w:r w:rsidR="00A264DF" w:rsidRPr="00A264DF">
        <w:rPr>
          <w:rFonts w:ascii="Arial" w:hAnsi="Arial" w:cs="Arial"/>
          <w:sz w:val="22"/>
          <w:szCs w:val="22"/>
        </w:rPr>
        <w:t xml:space="preserve">uwachses von </w:t>
      </w:r>
      <w:r>
        <w:rPr>
          <w:rFonts w:ascii="Arial" w:hAnsi="Arial" w:cs="Arial"/>
          <w:sz w:val="22"/>
          <w:szCs w:val="22"/>
        </w:rPr>
        <w:t xml:space="preserve">besagten </w:t>
      </w:r>
      <w:r w:rsidR="00A264DF" w:rsidRPr="00A264DF">
        <w:rPr>
          <w:rFonts w:ascii="Arial" w:hAnsi="Arial" w:cs="Arial"/>
          <w:sz w:val="22"/>
          <w:szCs w:val="22"/>
        </w:rPr>
        <w:t>1,5 % zum Jahresende.</w:t>
      </w:r>
    </w:p>
    <w:p w:rsidR="00A264DF" w:rsidRPr="00A264DF" w:rsidRDefault="00A264DF" w:rsidP="00A264DF">
      <w:pPr>
        <w:spacing w:line="360" w:lineRule="auto"/>
        <w:rPr>
          <w:rFonts w:ascii="Arial" w:hAnsi="Arial" w:cs="Arial"/>
          <w:sz w:val="22"/>
          <w:szCs w:val="22"/>
        </w:rPr>
      </w:pPr>
    </w:p>
    <w:p w:rsidR="00A264DF" w:rsidRPr="00A264DF" w:rsidRDefault="00A264DF" w:rsidP="00A264DF">
      <w:pPr>
        <w:spacing w:line="360" w:lineRule="auto"/>
        <w:rPr>
          <w:rFonts w:ascii="Arial" w:hAnsi="Arial" w:cs="Arial"/>
          <w:sz w:val="22"/>
          <w:szCs w:val="22"/>
        </w:rPr>
      </w:pPr>
      <w:r w:rsidRPr="00A264DF">
        <w:rPr>
          <w:rFonts w:ascii="Arial" w:hAnsi="Arial" w:cs="Arial"/>
          <w:sz w:val="22"/>
          <w:szCs w:val="22"/>
        </w:rPr>
        <w:t xml:space="preserve">Bei der Bewertung der Zukunftsperspektiven ist der </w:t>
      </w:r>
      <w:proofErr w:type="spellStart"/>
      <w:r w:rsidRPr="00A264DF">
        <w:rPr>
          <w:rFonts w:ascii="Arial" w:hAnsi="Arial" w:cs="Arial"/>
          <w:sz w:val="22"/>
          <w:szCs w:val="22"/>
        </w:rPr>
        <w:t>VdDK</w:t>
      </w:r>
      <w:proofErr w:type="spellEnd"/>
      <w:r w:rsidRPr="00A264DF">
        <w:rPr>
          <w:rFonts w:ascii="Arial" w:hAnsi="Arial" w:cs="Arial"/>
          <w:sz w:val="22"/>
          <w:szCs w:val="22"/>
        </w:rPr>
        <w:t xml:space="preserve"> </w:t>
      </w:r>
      <w:r w:rsidR="00FF2813">
        <w:rPr>
          <w:rFonts w:ascii="Arial" w:hAnsi="Arial" w:cs="Arial"/>
          <w:sz w:val="22"/>
          <w:szCs w:val="22"/>
        </w:rPr>
        <w:t xml:space="preserve">e.V. als Branchenorganisation </w:t>
      </w:r>
      <w:r w:rsidRPr="00A264DF">
        <w:rPr>
          <w:rFonts w:ascii="Arial" w:hAnsi="Arial" w:cs="Arial"/>
          <w:sz w:val="22"/>
          <w:szCs w:val="22"/>
        </w:rPr>
        <w:t>dennoch optimistisch. Dr. Heumann: „Wir erleben z. Zt. eine einmalige Baukonjunktur mit überdurchschnittlichen Zuwächsen an Baugenehmigungen und Baufertigstellungen gerade im Ein- und Mehrfamilienhausbereich</w:t>
      </w:r>
      <w:r w:rsidR="00FF2813">
        <w:rPr>
          <w:rFonts w:ascii="Arial" w:hAnsi="Arial" w:cs="Arial"/>
          <w:sz w:val="22"/>
          <w:szCs w:val="22"/>
        </w:rPr>
        <w:t>.</w:t>
      </w:r>
      <w:r w:rsidRPr="00A264DF">
        <w:rPr>
          <w:rFonts w:ascii="Arial" w:hAnsi="Arial" w:cs="Arial"/>
          <w:sz w:val="22"/>
          <w:szCs w:val="22"/>
        </w:rPr>
        <w:t xml:space="preserve"> Diese konjunktur</w:t>
      </w:r>
      <w:r w:rsidR="00FF2813">
        <w:rPr>
          <w:rFonts w:ascii="Arial" w:hAnsi="Arial" w:cs="Arial"/>
          <w:sz w:val="22"/>
          <w:szCs w:val="22"/>
        </w:rPr>
        <w:t>elle Hochphase</w:t>
      </w:r>
      <w:r w:rsidRPr="00A264DF">
        <w:rPr>
          <w:rFonts w:ascii="Arial" w:hAnsi="Arial" w:cs="Arial"/>
          <w:sz w:val="22"/>
          <w:szCs w:val="22"/>
        </w:rPr>
        <w:t xml:space="preserve"> wird sich </w:t>
      </w:r>
      <w:r w:rsidR="00FF2813">
        <w:rPr>
          <w:rFonts w:ascii="Arial" w:hAnsi="Arial" w:cs="Arial"/>
          <w:sz w:val="22"/>
          <w:szCs w:val="22"/>
        </w:rPr>
        <w:t xml:space="preserve">zeitverzögert </w:t>
      </w:r>
      <w:r w:rsidRPr="00A264DF">
        <w:rPr>
          <w:rFonts w:ascii="Arial" w:hAnsi="Arial" w:cs="Arial"/>
          <w:sz w:val="22"/>
          <w:szCs w:val="22"/>
        </w:rPr>
        <w:t xml:space="preserve">für die Küchenmöbelindustrie </w:t>
      </w:r>
      <w:r w:rsidR="00FF2813">
        <w:rPr>
          <w:rFonts w:ascii="Arial" w:hAnsi="Arial" w:cs="Arial"/>
          <w:sz w:val="22"/>
          <w:szCs w:val="22"/>
        </w:rPr>
        <w:t xml:space="preserve">ebenso </w:t>
      </w:r>
      <w:r w:rsidRPr="00A264DF">
        <w:rPr>
          <w:rFonts w:ascii="Arial" w:hAnsi="Arial" w:cs="Arial"/>
          <w:sz w:val="22"/>
          <w:szCs w:val="22"/>
        </w:rPr>
        <w:t>positiv auswirken. Die momentane Schwäche des Inlandsgeschäfts bewerten wir daher nur als ein vorübergehendes Phänomen.“</w:t>
      </w:r>
    </w:p>
    <w:p w:rsidR="00A264DF" w:rsidRPr="00A264DF" w:rsidRDefault="00A264DF" w:rsidP="00A264DF">
      <w:pPr>
        <w:spacing w:line="360" w:lineRule="auto"/>
        <w:rPr>
          <w:rFonts w:ascii="Arial" w:hAnsi="Arial" w:cs="Arial"/>
          <w:sz w:val="22"/>
          <w:szCs w:val="22"/>
        </w:rPr>
      </w:pPr>
    </w:p>
    <w:p w:rsidR="002F483F" w:rsidRPr="008275BF" w:rsidRDefault="002F483F" w:rsidP="00A264DF">
      <w:pPr>
        <w:spacing w:line="360" w:lineRule="auto"/>
        <w:rPr>
          <w:rFonts w:ascii="Arial" w:hAnsi="Arial" w:cs="Arial"/>
          <w:b/>
          <w:sz w:val="22"/>
          <w:szCs w:val="22"/>
        </w:rPr>
      </w:pPr>
      <w:r w:rsidRPr="008275BF">
        <w:rPr>
          <w:rFonts w:ascii="Arial" w:hAnsi="Arial" w:cs="Arial"/>
          <w:b/>
          <w:sz w:val="22"/>
          <w:szCs w:val="22"/>
        </w:rPr>
        <w:t xml:space="preserve">Systemische </w:t>
      </w:r>
      <w:r w:rsidR="008275BF" w:rsidRPr="008275BF">
        <w:rPr>
          <w:rFonts w:ascii="Arial" w:hAnsi="Arial" w:cs="Arial"/>
          <w:b/>
          <w:sz w:val="22"/>
          <w:szCs w:val="22"/>
        </w:rPr>
        <w:t>Widersprüche bei Polsterstatistiken</w:t>
      </w:r>
      <w:r w:rsidR="008275BF">
        <w:rPr>
          <w:rFonts w:ascii="Arial" w:hAnsi="Arial" w:cs="Arial"/>
          <w:b/>
          <w:sz w:val="22"/>
          <w:szCs w:val="22"/>
        </w:rPr>
        <w:t xml:space="preserve"> einfach erklärbar</w:t>
      </w:r>
    </w:p>
    <w:p w:rsidR="002F483F" w:rsidRDefault="002F483F" w:rsidP="00A264DF">
      <w:pPr>
        <w:spacing w:line="360" w:lineRule="auto"/>
        <w:rPr>
          <w:rFonts w:ascii="Arial" w:hAnsi="Arial" w:cs="Arial"/>
          <w:sz w:val="22"/>
          <w:szCs w:val="22"/>
        </w:rPr>
      </w:pPr>
    </w:p>
    <w:p w:rsidR="00FF2813" w:rsidRDefault="00A264DF" w:rsidP="00A264DF">
      <w:pPr>
        <w:spacing w:line="360" w:lineRule="auto"/>
        <w:rPr>
          <w:rFonts w:ascii="Arial" w:hAnsi="Arial" w:cs="Arial"/>
          <w:sz w:val="22"/>
          <w:szCs w:val="22"/>
        </w:rPr>
      </w:pPr>
      <w:r w:rsidRPr="00A264DF">
        <w:rPr>
          <w:rFonts w:ascii="Arial" w:hAnsi="Arial" w:cs="Arial"/>
          <w:sz w:val="22"/>
          <w:szCs w:val="22"/>
        </w:rPr>
        <w:t>Ein anderes Bild zeichnet sich demgegenüber in der Polstermöbelindustrie ab. Während das Statistische Bundesamt einen weiter</w:t>
      </w:r>
      <w:r w:rsidR="00FF2813">
        <w:rPr>
          <w:rFonts w:ascii="Arial" w:hAnsi="Arial" w:cs="Arial"/>
          <w:sz w:val="22"/>
          <w:szCs w:val="22"/>
        </w:rPr>
        <w:t>en Rückgang der Umsätze um -2,7 </w:t>
      </w:r>
      <w:r w:rsidRPr="00A264DF">
        <w:rPr>
          <w:rFonts w:ascii="Arial" w:hAnsi="Arial" w:cs="Arial"/>
          <w:sz w:val="22"/>
          <w:szCs w:val="22"/>
        </w:rPr>
        <w:t>% veröffentlicht, ergibt die verbandsinterne Austragsstatistik ein – scheinbar</w:t>
      </w:r>
      <w:r w:rsidR="00FF2813">
        <w:rPr>
          <w:rFonts w:ascii="Arial" w:hAnsi="Arial" w:cs="Arial"/>
          <w:sz w:val="22"/>
          <w:szCs w:val="22"/>
        </w:rPr>
        <w:t>!</w:t>
      </w:r>
      <w:r w:rsidRPr="00A264DF">
        <w:rPr>
          <w:rFonts w:ascii="Arial" w:hAnsi="Arial" w:cs="Arial"/>
          <w:sz w:val="22"/>
          <w:szCs w:val="22"/>
        </w:rPr>
        <w:t xml:space="preserve"> – </w:t>
      </w:r>
      <w:r w:rsidR="002F483F">
        <w:rPr>
          <w:rFonts w:ascii="Arial" w:hAnsi="Arial" w:cs="Arial"/>
          <w:sz w:val="22"/>
          <w:szCs w:val="22"/>
        </w:rPr>
        <w:t xml:space="preserve">gegensätzliches </w:t>
      </w:r>
      <w:r w:rsidRPr="00A264DF">
        <w:rPr>
          <w:rFonts w:ascii="Arial" w:hAnsi="Arial" w:cs="Arial"/>
          <w:sz w:val="22"/>
          <w:szCs w:val="22"/>
        </w:rPr>
        <w:t>Bild. Hier sind die Auftragseingänge der deutschen Polster</w:t>
      </w:r>
      <w:r w:rsidR="00FF2813">
        <w:rPr>
          <w:rFonts w:ascii="Arial" w:hAnsi="Arial" w:cs="Arial"/>
          <w:sz w:val="22"/>
          <w:szCs w:val="22"/>
        </w:rPr>
        <w:t>möbelindustrie insgesamt um 4,5 </w:t>
      </w:r>
      <w:r w:rsidRPr="00A264DF">
        <w:rPr>
          <w:rFonts w:ascii="Arial" w:hAnsi="Arial" w:cs="Arial"/>
          <w:sz w:val="22"/>
          <w:szCs w:val="22"/>
        </w:rPr>
        <w:t xml:space="preserve">% gewachsen mit einer nahezu gleichmäßigen </w:t>
      </w:r>
      <w:r w:rsidRPr="00A264DF">
        <w:rPr>
          <w:rFonts w:ascii="Arial" w:hAnsi="Arial" w:cs="Arial"/>
          <w:sz w:val="22"/>
          <w:szCs w:val="22"/>
        </w:rPr>
        <w:lastRenderedPageBreak/>
        <w:t>Verteilung auf das Inlands</w:t>
      </w:r>
      <w:r w:rsidR="00FF2813">
        <w:rPr>
          <w:rFonts w:ascii="Arial" w:hAnsi="Arial" w:cs="Arial"/>
          <w:sz w:val="22"/>
          <w:szCs w:val="22"/>
        </w:rPr>
        <w:t>-</w:t>
      </w:r>
      <w:r w:rsidRPr="00A264DF">
        <w:rPr>
          <w:rFonts w:ascii="Arial" w:hAnsi="Arial" w:cs="Arial"/>
          <w:sz w:val="22"/>
          <w:szCs w:val="22"/>
        </w:rPr>
        <w:t xml:space="preserve"> (+4,1</w:t>
      </w:r>
      <w:r w:rsidR="00FF2813">
        <w:rPr>
          <w:rFonts w:ascii="Arial" w:hAnsi="Arial" w:cs="Arial"/>
          <w:sz w:val="22"/>
          <w:szCs w:val="22"/>
        </w:rPr>
        <w:t> </w:t>
      </w:r>
      <w:r w:rsidRPr="00A264DF">
        <w:rPr>
          <w:rFonts w:ascii="Arial" w:hAnsi="Arial" w:cs="Arial"/>
          <w:sz w:val="22"/>
          <w:szCs w:val="22"/>
        </w:rPr>
        <w:t>%) und auf das Auslandsgeschäft (+5,7</w:t>
      </w:r>
      <w:r w:rsidR="00FF2813">
        <w:rPr>
          <w:rFonts w:ascii="Arial" w:hAnsi="Arial" w:cs="Arial"/>
          <w:sz w:val="22"/>
          <w:szCs w:val="22"/>
        </w:rPr>
        <w:t> </w:t>
      </w:r>
      <w:r w:rsidRPr="00A264DF">
        <w:rPr>
          <w:rFonts w:ascii="Arial" w:hAnsi="Arial" w:cs="Arial"/>
          <w:sz w:val="22"/>
          <w:szCs w:val="22"/>
        </w:rPr>
        <w:t xml:space="preserve">%). </w:t>
      </w:r>
    </w:p>
    <w:p w:rsidR="00C2093F" w:rsidRPr="00C2093F" w:rsidRDefault="00C2093F" w:rsidP="00C2093F">
      <w:pPr>
        <w:spacing w:line="360" w:lineRule="auto"/>
        <w:rPr>
          <w:rFonts w:ascii="Arial" w:hAnsi="Arial" w:cs="Arial"/>
          <w:sz w:val="16"/>
          <w:szCs w:val="16"/>
        </w:rPr>
      </w:pPr>
    </w:p>
    <w:p w:rsidR="00FF2813" w:rsidRDefault="00A264DF" w:rsidP="00A264DF">
      <w:pPr>
        <w:spacing w:line="360" w:lineRule="auto"/>
        <w:rPr>
          <w:rFonts w:ascii="Arial" w:hAnsi="Arial" w:cs="Arial"/>
          <w:sz w:val="22"/>
          <w:szCs w:val="22"/>
        </w:rPr>
      </w:pPr>
      <w:r w:rsidRPr="00A264DF">
        <w:rPr>
          <w:rFonts w:ascii="Arial" w:hAnsi="Arial" w:cs="Arial"/>
          <w:sz w:val="22"/>
          <w:szCs w:val="22"/>
        </w:rPr>
        <w:t xml:space="preserve">Die Frage, warum bei der </w:t>
      </w:r>
      <w:r w:rsidR="00FF2813">
        <w:rPr>
          <w:rFonts w:ascii="Arial" w:hAnsi="Arial" w:cs="Arial"/>
          <w:sz w:val="22"/>
          <w:szCs w:val="22"/>
        </w:rPr>
        <w:t xml:space="preserve">amtlichen </w:t>
      </w:r>
      <w:r w:rsidRPr="00A264DF">
        <w:rPr>
          <w:rFonts w:ascii="Arial" w:hAnsi="Arial" w:cs="Arial"/>
          <w:sz w:val="22"/>
          <w:szCs w:val="22"/>
        </w:rPr>
        <w:t xml:space="preserve">Umsatzstatistik eine Minus und bei der Auftragsstatistik </w:t>
      </w:r>
      <w:r w:rsidR="00FF2813">
        <w:rPr>
          <w:rFonts w:ascii="Arial" w:hAnsi="Arial" w:cs="Arial"/>
          <w:sz w:val="22"/>
          <w:szCs w:val="22"/>
        </w:rPr>
        <w:t xml:space="preserve">des </w:t>
      </w:r>
      <w:proofErr w:type="spellStart"/>
      <w:r w:rsidR="00FF2813">
        <w:rPr>
          <w:rFonts w:ascii="Arial" w:hAnsi="Arial" w:cs="Arial"/>
          <w:sz w:val="22"/>
          <w:szCs w:val="22"/>
        </w:rPr>
        <w:t>VdDP</w:t>
      </w:r>
      <w:proofErr w:type="spellEnd"/>
      <w:r w:rsidR="00FF2813">
        <w:rPr>
          <w:rFonts w:ascii="Arial" w:hAnsi="Arial" w:cs="Arial"/>
          <w:sz w:val="22"/>
          <w:szCs w:val="22"/>
        </w:rPr>
        <w:t xml:space="preserve"> ein dickes Plus vor den</w:t>
      </w:r>
      <w:r w:rsidRPr="00A264DF">
        <w:rPr>
          <w:rFonts w:ascii="Arial" w:hAnsi="Arial" w:cs="Arial"/>
          <w:sz w:val="22"/>
          <w:szCs w:val="22"/>
        </w:rPr>
        <w:t xml:space="preserve"> </w:t>
      </w:r>
      <w:r w:rsidR="00FF2813">
        <w:rPr>
          <w:rFonts w:ascii="Arial" w:hAnsi="Arial" w:cs="Arial"/>
          <w:sz w:val="22"/>
          <w:szCs w:val="22"/>
        </w:rPr>
        <w:t>Kennz</w:t>
      </w:r>
      <w:r w:rsidRPr="00A264DF">
        <w:rPr>
          <w:rFonts w:ascii="Arial" w:hAnsi="Arial" w:cs="Arial"/>
          <w:sz w:val="22"/>
          <w:szCs w:val="22"/>
        </w:rPr>
        <w:t>ahl</w:t>
      </w:r>
      <w:r w:rsidR="00FF2813">
        <w:rPr>
          <w:rFonts w:ascii="Arial" w:hAnsi="Arial" w:cs="Arial"/>
          <w:sz w:val="22"/>
          <w:szCs w:val="22"/>
        </w:rPr>
        <w:t>en stehen</w:t>
      </w:r>
      <w:r w:rsidRPr="00A264DF">
        <w:rPr>
          <w:rFonts w:ascii="Arial" w:hAnsi="Arial" w:cs="Arial"/>
          <w:sz w:val="22"/>
          <w:szCs w:val="22"/>
        </w:rPr>
        <w:t xml:space="preserve">, beantwortet Heumann unter Hinweis auf den unterschiedlichen Teilnehmerkreis: Das Statistische Bundesamt misst demnach nur die Umsatzentwicklung von Unternehmen mit Produktion in Deutschland. Bei Unternehmen, die sowohl über Betriebe im Inland als auch im Ausland verfügen, wird </w:t>
      </w:r>
      <w:r w:rsidR="00FF2813">
        <w:rPr>
          <w:rFonts w:ascii="Arial" w:hAnsi="Arial" w:cs="Arial"/>
          <w:sz w:val="22"/>
          <w:szCs w:val="22"/>
        </w:rPr>
        <w:t xml:space="preserve">folglich ausschließlich </w:t>
      </w:r>
      <w:r w:rsidRPr="00A264DF">
        <w:rPr>
          <w:rFonts w:ascii="Arial" w:hAnsi="Arial" w:cs="Arial"/>
          <w:sz w:val="22"/>
          <w:szCs w:val="22"/>
        </w:rPr>
        <w:t xml:space="preserve">der Umsatz des im Inland ansässigen Betriebes gezählt. </w:t>
      </w:r>
    </w:p>
    <w:p w:rsidR="00C2093F" w:rsidRPr="00C2093F" w:rsidRDefault="00C2093F" w:rsidP="00C2093F">
      <w:pPr>
        <w:spacing w:line="360" w:lineRule="auto"/>
        <w:rPr>
          <w:rFonts w:ascii="Arial" w:hAnsi="Arial" w:cs="Arial"/>
          <w:sz w:val="16"/>
          <w:szCs w:val="16"/>
        </w:rPr>
      </w:pPr>
    </w:p>
    <w:p w:rsidR="008275BF" w:rsidRPr="008275BF" w:rsidRDefault="008275BF" w:rsidP="00A264DF">
      <w:pPr>
        <w:spacing w:line="360" w:lineRule="auto"/>
        <w:rPr>
          <w:rFonts w:ascii="Arial" w:hAnsi="Arial" w:cs="Arial"/>
          <w:b/>
          <w:sz w:val="22"/>
          <w:szCs w:val="22"/>
        </w:rPr>
      </w:pPr>
      <w:r w:rsidRPr="008275BF">
        <w:rPr>
          <w:rFonts w:ascii="Arial" w:hAnsi="Arial" w:cs="Arial"/>
          <w:b/>
          <w:sz w:val="22"/>
          <w:szCs w:val="22"/>
        </w:rPr>
        <w:t>Polstermöbelabsatz in Deutschland profitiert von Konsumklima</w:t>
      </w:r>
    </w:p>
    <w:p w:rsidR="00C2093F" w:rsidRPr="00C2093F" w:rsidRDefault="00C2093F" w:rsidP="00C2093F">
      <w:pPr>
        <w:spacing w:line="360" w:lineRule="auto"/>
        <w:rPr>
          <w:rFonts w:ascii="Arial" w:hAnsi="Arial" w:cs="Arial"/>
          <w:sz w:val="16"/>
          <w:szCs w:val="16"/>
        </w:rPr>
      </w:pPr>
    </w:p>
    <w:p w:rsidR="00FF2813" w:rsidRDefault="00A264DF" w:rsidP="00A264DF">
      <w:pPr>
        <w:spacing w:line="360" w:lineRule="auto"/>
        <w:rPr>
          <w:rFonts w:ascii="Arial" w:hAnsi="Arial" w:cs="Arial"/>
          <w:sz w:val="22"/>
          <w:szCs w:val="22"/>
        </w:rPr>
      </w:pPr>
      <w:r w:rsidRPr="00A264DF">
        <w:rPr>
          <w:rFonts w:ascii="Arial" w:hAnsi="Arial" w:cs="Arial"/>
          <w:sz w:val="22"/>
          <w:szCs w:val="22"/>
        </w:rPr>
        <w:t xml:space="preserve">Anders die Auftragsstatistik des </w:t>
      </w:r>
      <w:r w:rsidR="00FF2813">
        <w:rPr>
          <w:rFonts w:ascii="Arial" w:hAnsi="Arial" w:cs="Arial"/>
          <w:sz w:val="22"/>
          <w:szCs w:val="22"/>
        </w:rPr>
        <w:t>Polstermöbelverbands</w:t>
      </w:r>
      <w:r w:rsidRPr="00A264DF">
        <w:rPr>
          <w:rFonts w:ascii="Arial" w:hAnsi="Arial" w:cs="Arial"/>
          <w:sz w:val="22"/>
          <w:szCs w:val="22"/>
        </w:rPr>
        <w:t xml:space="preserve">: Hier </w:t>
      </w:r>
      <w:r w:rsidR="00FF2813">
        <w:rPr>
          <w:rFonts w:ascii="Arial" w:hAnsi="Arial" w:cs="Arial"/>
          <w:sz w:val="22"/>
          <w:szCs w:val="22"/>
        </w:rPr>
        <w:t>soll bewusst die Entwicklung der</w:t>
      </w:r>
      <w:r w:rsidRPr="00A264DF">
        <w:rPr>
          <w:rFonts w:ascii="Arial" w:hAnsi="Arial" w:cs="Arial"/>
          <w:sz w:val="22"/>
          <w:szCs w:val="22"/>
        </w:rPr>
        <w:t xml:space="preserve"> M</w:t>
      </w:r>
      <w:r w:rsidR="00FF2813">
        <w:rPr>
          <w:rFonts w:ascii="Arial" w:hAnsi="Arial" w:cs="Arial"/>
          <w:sz w:val="22"/>
          <w:szCs w:val="22"/>
        </w:rPr>
        <w:t>ä</w:t>
      </w:r>
      <w:r w:rsidRPr="00A264DF">
        <w:rPr>
          <w:rFonts w:ascii="Arial" w:hAnsi="Arial" w:cs="Arial"/>
          <w:sz w:val="22"/>
          <w:szCs w:val="22"/>
        </w:rPr>
        <w:t xml:space="preserve">rkte und nicht </w:t>
      </w:r>
      <w:r w:rsidR="00FF2813">
        <w:rPr>
          <w:rFonts w:ascii="Arial" w:hAnsi="Arial" w:cs="Arial"/>
          <w:sz w:val="22"/>
          <w:szCs w:val="22"/>
        </w:rPr>
        <w:t xml:space="preserve">die </w:t>
      </w:r>
      <w:r w:rsidRPr="00A264DF">
        <w:rPr>
          <w:rFonts w:ascii="Arial" w:hAnsi="Arial" w:cs="Arial"/>
          <w:sz w:val="22"/>
          <w:szCs w:val="22"/>
        </w:rPr>
        <w:t xml:space="preserve">der </w:t>
      </w:r>
      <w:r w:rsidR="00FF2813">
        <w:rPr>
          <w:rFonts w:ascii="Arial" w:hAnsi="Arial" w:cs="Arial"/>
          <w:sz w:val="22"/>
          <w:szCs w:val="22"/>
        </w:rPr>
        <w:t>in Deutschland p</w:t>
      </w:r>
      <w:r w:rsidRPr="00A264DF">
        <w:rPr>
          <w:rFonts w:ascii="Arial" w:hAnsi="Arial" w:cs="Arial"/>
          <w:sz w:val="22"/>
          <w:szCs w:val="22"/>
        </w:rPr>
        <w:t>roduz</w:t>
      </w:r>
      <w:r w:rsidR="00FF2813">
        <w:rPr>
          <w:rFonts w:ascii="Arial" w:hAnsi="Arial" w:cs="Arial"/>
          <w:sz w:val="22"/>
          <w:szCs w:val="22"/>
        </w:rPr>
        <w:t xml:space="preserve">ierenden Herstellerbetriebe </w:t>
      </w:r>
      <w:r w:rsidRPr="00A264DF">
        <w:rPr>
          <w:rFonts w:ascii="Arial" w:hAnsi="Arial" w:cs="Arial"/>
          <w:sz w:val="22"/>
          <w:szCs w:val="22"/>
        </w:rPr>
        <w:t xml:space="preserve">gemessen werden. Daher nehmen an der internen Statistik des </w:t>
      </w:r>
      <w:proofErr w:type="spellStart"/>
      <w:r w:rsidRPr="00A264DF">
        <w:rPr>
          <w:rFonts w:ascii="Arial" w:hAnsi="Arial" w:cs="Arial"/>
          <w:sz w:val="22"/>
          <w:szCs w:val="22"/>
        </w:rPr>
        <w:t>VdDP</w:t>
      </w:r>
      <w:proofErr w:type="spellEnd"/>
      <w:r w:rsidRPr="00A264DF">
        <w:rPr>
          <w:rFonts w:ascii="Arial" w:hAnsi="Arial" w:cs="Arial"/>
          <w:sz w:val="22"/>
          <w:szCs w:val="22"/>
        </w:rPr>
        <w:t xml:space="preserve"> auch Unternehmen mit ausschließlicher Produktion im Ausland teil, ja </w:t>
      </w:r>
      <w:r w:rsidR="00FF2813">
        <w:rPr>
          <w:rFonts w:ascii="Arial" w:hAnsi="Arial" w:cs="Arial"/>
          <w:sz w:val="22"/>
          <w:szCs w:val="22"/>
        </w:rPr>
        <w:t xml:space="preserve">teilweise </w:t>
      </w:r>
      <w:r w:rsidRPr="00A264DF">
        <w:rPr>
          <w:rFonts w:ascii="Arial" w:hAnsi="Arial" w:cs="Arial"/>
          <w:sz w:val="22"/>
          <w:szCs w:val="22"/>
        </w:rPr>
        <w:t xml:space="preserve">sogar ausländische Unternehmen mit einem relevanten Marktanteil in Deutschland. </w:t>
      </w:r>
    </w:p>
    <w:p w:rsidR="00C2093F" w:rsidRPr="00C2093F" w:rsidRDefault="00C2093F" w:rsidP="00C2093F">
      <w:pPr>
        <w:spacing w:line="360" w:lineRule="auto"/>
        <w:rPr>
          <w:rFonts w:ascii="Arial" w:hAnsi="Arial" w:cs="Arial"/>
          <w:sz w:val="16"/>
          <w:szCs w:val="16"/>
        </w:rPr>
      </w:pPr>
    </w:p>
    <w:p w:rsidR="00A264DF" w:rsidRPr="00A264DF" w:rsidRDefault="00FF2813" w:rsidP="00A264DF">
      <w:pPr>
        <w:spacing w:line="360" w:lineRule="auto"/>
        <w:rPr>
          <w:rFonts w:ascii="Arial" w:hAnsi="Arial" w:cs="Arial"/>
          <w:sz w:val="22"/>
          <w:szCs w:val="22"/>
        </w:rPr>
      </w:pPr>
      <w:r>
        <w:rPr>
          <w:rFonts w:ascii="Arial" w:hAnsi="Arial" w:cs="Arial"/>
          <w:sz w:val="22"/>
          <w:szCs w:val="22"/>
        </w:rPr>
        <w:t xml:space="preserve">Die </w:t>
      </w:r>
      <w:r w:rsidR="00A264DF" w:rsidRPr="00A264DF">
        <w:rPr>
          <w:rFonts w:ascii="Arial" w:hAnsi="Arial" w:cs="Arial"/>
          <w:sz w:val="22"/>
          <w:szCs w:val="22"/>
        </w:rPr>
        <w:t xml:space="preserve">Ergebnisse der Umsatzstatistik des Statistischen Bundesamtes und der Auftragsstatistik des </w:t>
      </w:r>
      <w:proofErr w:type="spellStart"/>
      <w:r w:rsidR="00A264DF" w:rsidRPr="00A264DF">
        <w:rPr>
          <w:rFonts w:ascii="Arial" w:hAnsi="Arial" w:cs="Arial"/>
          <w:sz w:val="22"/>
          <w:szCs w:val="22"/>
        </w:rPr>
        <w:t>VdDP</w:t>
      </w:r>
      <w:proofErr w:type="spellEnd"/>
      <w:r w:rsidR="00A264DF" w:rsidRPr="00A264DF">
        <w:rPr>
          <w:rFonts w:ascii="Arial" w:hAnsi="Arial" w:cs="Arial"/>
          <w:sz w:val="22"/>
          <w:szCs w:val="22"/>
        </w:rPr>
        <w:t xml:space="preserve"> </w:t>
      </w:r>
      <w:r>
        <w:rPr>
          <w:rFonts w:ascii="Arial" w:hAnsi="Arial" w:cs="Arial"/>
          <w:sz w:val="22"/>
          <w:szCs w:val="22"/>
        </w:rPr>
        <w:t xml:space="preserve">sind folglich so </w:t>
      </w:r>
      <w:r w:rsidR="00A264DF" w:rsidRPr="00A264DF">
        <w:rPr>
          <w:rFonts w:ascii="Arial" w:hAnsi="Arial" w:cs="Arial"/>
          <w:sz w:val="22"/>
          <w:szCs w:val="22"/>
        </w:rPr>
        <w:t xml:space="preserve">zu </w:t>
      </w:r>
      <w:r>
        <w:rPr>
          <w:rFonts w:ascii="Arial" w:hAnsi="Arial" w:cs="Arial"/>
          <w:sz w:val="22"/>
          <w:szCs w:val="22"/>
        </w:rPr>
        <w:t>interpretieren</w:t>
      </w:r>
      <w:r w:rsidR="00A264DF" w:rsidRPr="00A264DF">
        <w:rPr>
          <w:rFonts w:ascii="Arial" w:hAnsi="Arial" w:cs="Arial"/>
          <w:sz w:val="22"/>
          <w:szCs w:val="22"/>
        </w:rPr>
        <w:t xml:space="preserve">, dass die Produktion im Polstermöbelsektor </w:t>
      </w:r>
      <w:r w:rsidRPr="00A264DF">
        <w:rPr>
          <w:rFonts w:ascii="Arial" w:hAnsi="Arial" w:cs="Arial"/>
          <w:sz w:val="22"/>
          <w:szCs w:val="22"/>
        </w:rPr>
        <w:t xml:space="preserve">im Inland </w:t>
      </w:r>
      <w:r w:rsidR="00A264DF" w:rsidRPr="00A264DF">
        <w:rPr>
          <w:rFonts w:ascii="Arial" w:hAnsi="Arial" w:cs="Arial"/>
          <w:sz w:val="22"/>
          <w:szCs w:val="22"/>
        </w:rPr>
        <w:t xml:space="preserve">an Boden verliert, während die Produktion im Ausland unverändert </w:t>
      </w:r>
      <w:r>
        <w:rPr>
          <w:rFonts w:ascii="Arial" w:hAnsi="Arial" w:cs="Arial"/>
          <w:sz w:val="22"/>
          <w:szCs w:val="22"/>
        </w:rPr>
        <w:t>wächst</w:t>
      </w:r>
      <w:r w:rsidR="00A264DF" w:rsidRPr="00A264DF">
        <w:rPr>
          <w:rFonts w:ascii="Arial" w:hAnsi="Arial" w:cs="Arial"/>
          <w:sz w:val="22"/>
          <w:szCs w:val="22"/>
        </w:rPr>
        <w:t xml:space="preserve">. </w:t>
      </w:r>
      <w:r>
        <w:rPr>
          <w:rFonts w:ascii="Arial" w:hAnsi="Arial" w:cs="Arial"/>
          <w:sz w:val="22"/>
          <w:szCs w:val="22"/>
        </w:rPr>
        <w:t>Für die positive</w:t>
      </w:r>
      <w:r w:rsidR="00A264DF" w:rsidRPr="00A264DF">
        <w:rPr>
          <w:rFonts w:ascii="Arial" w:hAnsi="Arial" w:cs="Arial"/>
          <w:sz w:val="22"/>
          <w:szCs w:val="22"/>
        </w:rPr>
        <w:t xml:space="preserve"> Entwicklung des Inlandsgeschäfts bei Polstermöbeln </w:t>
      </w:r>
      <w:r>
        <w:rPr>
          <w:rFonts w:ascii="Arial" w:hAnsi="Arial" w:cs="Arial"/>
          <w:sz w:val="22"/>
          <w:szCs w:val="22"/>
        </w:rPr>
        <w:t xml:space="preserve">gibt </w:t>
      </w:r>
      <w:r w:rsidR="00A264DF" w:rsidRPr="00A264DF">
        <w:rPr>
          <w:rFonts w:ascii="Arial" w:hAnsi="Arial" w:cs="Arial"/>
          <w:sz w:val="22"/>
          <w:szCs w:val="22"/>
        </w:rPr>
        <w:t xml:space="preserve">der Verband </w:t>
      </w:r>
      <w:r>
        <w:rPr>
          <w:rFonts w:ascii="Arial" w:hAnsi="Arial" w:cs="Arial"/>
          <w:sz w:val="22"/>
          <w:szCs w:val="22"/>
        </w:rPr>
        <w:t xml:space="preserve">folgende </w:t>
      </w:r>
      <w:r w:rsidR="00A264DF" w:rsidRPr="00A264DF">
        <w:rPr>
          <w:rFonts w:ascii="Arial" w:hAnsi="Arial" w:cs="Arial"/>
          <w:sz w:val="22"/>
          <w:szCs w:val="22"/>
        </w:rPr>
        <w:t xml:space="preserve">Erklärung: „Die Anschaffung von Polstermöbeln bedeutet im Durchschnitt für den privaten Verbraucher eine geringere Investition als die Anschaffung von Küchen. Daher profitiert der Polstermöbelsektor schneller und stärker von dem z. Zt. </w:t>
      </w:r>
      <w:r>
        <w:rPr>
          <w:rFonts w:ascii="Arial" w:hAnsi="Arial" w:cs="Arial"/>
          <w:sz w:val="22"/>
          <w:szCs w:val="22"/>
        </w:rPr>
        <w:t xml:space="preserve">günstigen </w:t>
      </w:r>
      <w:r w:rsidR="00A264DF" w:rsidRPr="00A264DF">
        <w:rPr>
          <w:rFonts w:ascii="Arial" w:hAnsi="Arial" w:cs="Arial"/>
          <w:sz w:val="22"/>
          <w:szCs w:val="22"/>
        </w:rPr>
        <w:t>Konsumklima der Verbraucher in Deutschland.“</w:t>
      </w:r>
    </w:p>
    <w:p w:rsidR="00A264DF" w:rsidRPr="00A264DF" w:rsidRDefault="00A264DF" w:rsidP="00A264DF">
      <w:pPr>
        <w:spacing w:line="360" w:lineRule="auto"/>
        <w:rPr>
          <w:rFonts w:ascii="Arial" w:hAnsi="Arial" w:cs="Arial"/>
          <w:sz w:val="22"/>
          <w:szCs w:val="22"/>
        </w:rPr>
      </w:pPr>
    </w:p>
    <w:p w:rsidR="008275BF" w:rsidRPr="008275BF" w:rsidRDefault="008275BF" w:rsidP="00A264DF">
      <w:pPr>
        <w:spacing w:line="360" w:lineRule="auto"/>
        <w:rPr>
          <w:rFonts w:ascii="Arial" w:hAnsi="Arial" w:cs="Arial"/>
          <w:b/>
          <w:sz w:val="22"/>
          <w:szCs w:val="22"/>
        </w:rPr>
      </w:pPr>
      <w:r w:rsidRPr="008275BF">
        <w:rPr>
          <w:rFonts w:ascii="Arial" w:hAnsi="Arial" w:cs="Arial"/>
          <w:b/>
          <w:sz w:val="22"/>
          <w:szCs w:val="22"/>
        </w:rPr>
        <w:lastRenderedPageBreak/>
        <w:t>Wohnmöbelindustrie leidet wie Polster unter Abwanderung</w:t>
      </w:r>
    </w:p>
    <w:p w:rsidR="008275BF" w:rsidRDefault="008275BF" w:rsidP="00A264DF">
      <w:pPr>
        <w:spacing w:line="360" w:lineRule="auto"/>
        <w:rPr>
          <w:rFonts w:ascii="Arial" w:hAnsi="Arial" w:cs="Arial"/>
          <w:sz w:val="22"/>
          <w:szCs w:val="22"/>
        </w:rPr>
      </w:pPr>
    </w:p>
    <w:p w:rsidR="002F483F" w:rsidRDefault="00FF2813" w:rsidP="00A264DF">
      <w:pPr>
        <w:spacing w:line="360" w:lineRule="auto"/>
        <w:rPr>
          <w:rFonts w:ascii="Arial" w:hAnsi="Arial" w:cs="Arial"/>
          <w:sz w:val="22"/>
          <w:szCs w:val="22"/>
        </w:rPr>
      </w:pPr>
      <w:r>
        <w:rPr>
          <w:rFonts w:ascii="Arial" w:hAnsi="Arial" w:cs="Arial"/>
          <w:sz w:val="22"/>
          <w:szCs w:val="22"/>
        </w:rPr>
        <w:t xml:space="preserve">Vergleichbar der Polstermöbelindustrie </w:t>
      </w:r>
      <w:r w:rsidR="00A264DF" w:rsidRPr="00A264DF">
        <w:rPr>
          <w:rFonts w:ascii="Arial" w:hAnsi="Arial" w:cs="Arial"/>
          <w:sz w:val="22"/>
          <w:szCs w:val="22"/>
        </w:rPr>
        <w:t xml:space="preserve">hat sich nach </w:t>
      </w:r>
      <w:r>
        <w:rPr>
          <w:rFonts w:ascii="Arial" w:hAnsi="Arial" w:cs="Arial"/>
          <w:sz w:val="22"/>
          <w:szCs w:val="22"/>
        </w:rPr>
        <w:t xml:space="preserve">Dr. </w:t>
      </w:r>
      <w:r w:rsidR="00A264DF" w:rsidRPr="00A264DF">
        <w:rPr>
          <w:rFonts w:ascii="Arial" w:hAnsi="Arial" w:cs="Arial"/>
          <w:sz w:val="22"/>
          <w:szCs w:val="22"/>
        </w:rPr>
        <w:t xml:space="preserve">Heumanns Angaben auch der Wohnmöbelsektor entwickelt. Hier konnten die Auftragseingänge </w:t>
      </w:r>
      <w:r w:rsidR="008275BF">
        <w:rPr>
          <w:rFonts w:ascii="Arial" w:hAnsi="Arial" w:cs="Arial"/>
          <w:sz w:val="22"/>
          <w:szCs w:val="22"/>
        </w:rPr>
        <w:t xml:space="preserve">laut Verbandserhebung </w:t>
      </w:r>
      <w:r w:rsidR="00A264DF" w:rsidRPr="00A264DF">
        <w:rPr>
          <w:rFonts w:ascii="Arial" w:hAnsi="Arial" w:cs="Arial"/>
          <w:sz w:val="22"/>
          <w:szCs w:val="22"/>
        </w:rPr>
        <w:t>im Gesamtjahr um 3,7</w:t>
      </w:r>
      <w:r>
        <w:rPr>
          <w:rFonts w:ascii="Arial" w:hAnsi="Arial" w:cs="Arial"/>
          <w:sz w:val="22"/>
          <w:szCs w:val="22"/>
        </w:rPr>
        <w:t> </w:t>
      </w:r>
      <w:r w:rsidR="00A264DF" w:rsidRPr="00A264DF">
        <w:rPr>
          <w:rFonts w:ascii="Arial" w:hAnsi="Arial" w:cs="Arial"/>
          <w:sz w:val="22"/>
          <w:szCs w:val="22"/>
        </w:rPr>
        <w:t xml:space="preserve">% gesteigert werden, wobei </w:t>
      </w:r>
      <w:r>
        <w:rPr>
          <w:rFonts w:ascii="Arial" w:hAnsi="Arial" w:cs="Arial"/>
          <w:sz w:val="22"/>
          <w:szCs w:val="22"/>
        </w:rPr>
        <w:t xml:space="preserve">das Wachstum der </w:t>
      </w:r>
      <w:r w:rsidR="00A264DF" w:rsidRPr="00A264DF">
        <w:rPr>
          <w:rFonts w:ascii="Arial" w:hAnsi="Arial" w:cs="Arial"/>
          <w:sz w:val="22"/>
          <w:szCs w:val="22"/>
        </w:rPr>
        <w:t>Auftra</w:t>
      </w:r>
      <w:r>
        <w:rPr>
          <w:rFonts w:ascii="Arial" w:hAnsi="Arial" w:cs="Arial"/>
          <w:sz w:val="22"/>
          <w:szCs w:val="22"/>
        </w:rPr>
        <w:t xml:space="preserve">gseingänge aus dem Ausland mit </w:t>
      </w:r>
      <w:r w:rsidR="00A264DF" w:rsidRPr="00A264DF">
        <w:rPr>
          <w:rFonts w:ascii="Arial" w:hAnsi="Arial" w:cs="Arial"/>
          <w:sz w:val="22"/>
          <w:szCs w:val="22"/>
        </w:rPr>
        <w:t>6,2</w:t>
      </w:r>
      <w:r>
        <w:rPr>
          <w:rFonts w:ascii="Arial" w:hAnsi="Arial" w:cs="Arial"/>
          <w:sz w:val="22"/>
          <w:szCs w:val="22"/>
        </w:rPr>
        <w:t> </w:t>
      </w:r>
      <w:r w:rsidR="00A264DF" w:rsidRPr="00A264DF">
        <w:rPr>
          <w:rFonts w:ascii="Arial" w:hAnsi="Arial" w:cs="Arial"/>
          <w:sz w:val="22"/>
          <w:szCs w:val="22"/>
        </w:rPr>
        <w:t xml:space="preserve">% deutlich besser ausgefallen </w:t>
      </w:r>
      <w:r>
        <w:rPr>
          <w:rFonts w:ascii="Arial" w:hAnsi="Arial" w:cs="Arial"/>
          <w:sz w:val="22"/>
          <w:szCs w:val="22"/>
        </w:rPr>
        <w:t xml:space="preserve">ist </w:t>
      </w:r>
      <w:r w:rsidR="00A264DF" w:rsidRPr="00A264DF">
        <w:rPr>
          <w:rFonts w:ascii="Arial" w:hAnsi="Arial" w:cs="Arial"/>
          <w:sz w:val="22"/>
          <w:szCs w:val="22"/>
        </w:rPr>
        <w:t xml:space="preserve">als </w:t>
      </w:r>
      <w:r>
        <w:rPr>
          <w:rFonts w:ascii="Arial" w:hAnsi="Arial" w:cs="Arial"/>
          <w:sz w:val="22"/>
          <w:szCs w:val="22"/>
        </w:rPr>
        <w:t xml:space="preserve">das </w:t>
      </w:r>
      <w:r w:rsidR="008275BF">
        <w:rPr>
          <w:rFonts w:ascii="Arial" w:hAnsi="Arial" w:cs="Arial"/>
          <w:sz w:val="22"/>
          <w:szCs w:val="22"/>
        </w:rPr>
        <w:t xml:space="preserve">der </w:t>
      </w:r>
      <w:r w:rsidR="00A264DF" w:rsidRPr="00A264DF">
        <w:rPr>
          <w:rFonts w:ascii="Arial" w:hAnsi="Arial" w:cs="Arial"/>
          <w:sz w:val="22"/>
          <w:szCs w:val="22"/>
        </w:rPr>
        <w:t>Inland</w:t>
      </w:r>
      <w:r w:rsidR="008275BF">
        <w:rPr>
          <w:rFonts w:ascii="Arial" w:hAnsi="Arial" w:cs="Arial"/>
          <w:sz w:val="22"/>
          <w:szCs w:val="22"/>
        </w:rPr>
        <w:t>saufträge</w:t>
      </w:r>
      <w:r w:rsidR="00A264DF" w:rsidRPr="00A264DF">
        <w:rPr>
          <w:rFonts w:ascii="Arial" w:hAnsi="Arial" w:cs="Arial"/>
          <w:sz w:val="22"/>
          <w:szCs w:val="22"/>
        </w:rPr>
        <w:t xml:space="preserve"> mit 2,7</w:t>
      </w:r>
      <w:r>
        <w:rPr>
          <w:rFonts w:ascii="Arial" w:hAnsi="Arial" w:cs="Arial"/>
          <w:sz w:val="22"/>
          <w:szCs w:val="22"/>
        </w:rPr>
        <w:t> </w:t>
      </w:r>
      <w:r w:rsidR="00A264DF" w:rsidRPr="00A264DF">
        <w:rPr>
          <w:rFonts w:ascii="Arial" w:hAnsi="Arial" w:cs="Arial"/>
          <w:sz w:val="22"/>
          <w:szCs w:val="22"/>
        </w:rPr>
        <w:t xml:space="preserve">%. </w:t>
      </w:r>
    </w:p>
    <w:p w:rsidR="002F483F" w:rsidRDefault="002F483F" w:rsidP="00A264DF">
      <w:pPr>
        <w:spacing w:line="360" w:lineRule="auto"/>
        <w:rPr>
          <w:rFonts w:ascii="Arial" w:hAnsi="Arial" w:cs="Arial"/>
          <w:sz w:val="22"/>
          <w:szCs w:val="22"/>
        </w:rPr>
      </w:pPr>
    </w:p>
    <w:p w:rsidR="002F483F" w:rsidRDefault="00A264DF" w:rsidP="00A264DF">
      <w:pPr>
        <w:spacing w:line="360" w:lineRule="auto"/>
        <w:rPr>
          <w:rFonts w:ascii="Arial" w:hAnsi="Arial" w:cs="Arial"/>
          <w:sz w:val="22"/>
          <w:szCs w:val="22"/>
        </w:rPr>
      </w:pPr>
      <w:r w:rsidRPr="00A264DF">
        <w:rPr>
          <w:rFonts w:ascii="Arial" w:hAnsi="Arial" w:cs="Arial"/>
          <w:sz w:val="22"/>
          <w:szCs w:val="22"/>
        </w:rPr>
        <w:t xml:space="preserve">Da </w:t>
      </w:r>
      <w:r w:rsidR="00FF2813">
        <w:rPr>
          <w:rFonts w:ascii="Arial" w:hAnsi="Arial" w:cs="Arial"/>
          <w:sz w:val="22"/>
          <w:szCs w:val="22"/>
        </w:rPr>
        <w:t xml:space="preserve">in diesem Sektor </w:t>
      </w:r>
      <w:r w:rsidRPr="00A264DF">
        <w:rPr>
          <w:rFonts w:ascii="Arial" w:hAnsi="Arial" w:cs="Arial"/>
          <w:sz w:val="22"/>
          <w:szCs w:val="22"/>
        </w:rPr>
        <w:t xml:space="preserve">eine Statistik des Statistischen Bundesamtes </w:t>
      </w:r>
      <w:r w:rsidR="00FF2813">
        <w:rPr>
          <w:rFonts w:ascii="Arial" w:hAnsi="Arial" w:cs="Arial"/>
          <w:sz w:val="22"/>
          <w:szCs w:val="22"/>
        </w:rPr>
        <w:t xml:space="preserve">– </w:t>
      </w:r>
      <w:r w:rsidRPr="00A264DF">
        <w:rPr>
          <w:rFonts w:ascii="Arial" w:hAnsi="Arial" w:cs="Arial"/>
          <w:sz w:val="22"/>
          <w:szCs w:val="22"/>
        </w:rPr>
        <w:t xml:space="preserve">etwa bezogen auf Hersteller von Wohnmöbeln mit Produktion in Deutschland im monatlichen Rhythmus </w:t>
      </w:r>
      <w:r w:rsidR="002F483F">
        <w:rPr>
          <w:rFonts w:ascii="Arial" w:hAnsi="Arial" w:cs="Arial"/>
          <w:sz w:val="22"/>
          <w:szCs w:val="22"/>
        </w:rPr>
        <w:t xml:space="preserve">– </w:t>
      </w:r>
      <w:r w:rsidRPr="00A264DF">
        <w:rPr>
          <w:rFonts w:ascii="Arial" w:hAnsi="Arial" w:cs="Arial"/>
          <w:sz w:val="22"/>
          <w:szCs w:val="22"/>
        </w:rPr>
        <w:t xml:space="preserve">fehlt, kann leider kein Vergleich gezogen werden zwischen der wirtschaftlichen Entwicklung an deutschen und an ausländischen Produktionsstandorten. Nach Erkenntnissen des </w:t>
      </w:r>
      <w:proofErr w:type="spellStart"/>
      <w:r w:rsidR="002F483F">
        <w:rPr>
          <w:rFonts w:ascii="Arial" w:hAnsi="Arial" w:cs="Arial"/>
          <w:sz w:val="22"/>
          <w:szCs w:val="22"/>
        </w:rPr>
        <w:t>VdDW</w:t>
      </w:r>
      <w:proofErr w:type="spellEnd"/>
      <w:r w:rsidR="002F483F">
        <w:rPr>
          <w:rFonts w:ascii="Arial" w:hAnsi="Arial" w:cs="Arial"/>
          <w:sz w:val="22"/>
          <w:szCs w:val="22"/>
        </w:rPr>
        <w:t xml:space="preserve"> zeigt sich </w:t>
      </w:r>
      <w:r w:rsidRPr="00A264DF">
        <w:rPr>
          <w:rFonts w:ascii="Arial" w:hAnsi="Arial" w:cs="Arial"/>
          <w:sz w:val="22"/>
          <w:szCs w:val="22"/>
        </w:rPr>
        <w:t>aber ein</w:t>
      </w:r>
      <w:r w:rsidR="002F483F">
        <w:rPr>
          <w:rFonts w:ascii="Arial" w:hAnsi="Arial" w:cs="Arial"/>
          <w:sz w:val="22"/>
          <w:szCs w:val="22"/>
        </w:rPr>
        <w:t xml:space="preserve"> ähnlicher</w:t>
      </w:r>
      <w:r w:rsidRPr="00A264DF">
        <w:rPr>
          <w:rFonts w:ascii="Arial" w:hAnsi="Arial" w:cs="Arial"/>
          <w:sz w:val="22"/>
          <w:szCs w:val="22"/>
        </w:rPr>
        <w:t xml:space="preserve"> </w:t>
      </w:r>
      <w:r w:rsidR="002F483F">
        <w:rPr>
          <w:rFonts w:ascii="Arial" w:hAnsi="Arial" w:cs="Arial"/>
          <w:sz w:val="22"/>
          <w:szCs w:val="22"/>
        </w:rPr>
        <w:t xml:space="preserve">Trend </w:t>
      </w:r>
      <w:r w:rsidRPr="00A264DF">
        <w:rPr>
          <w:rFonts w:ascii="Arial" w:hAnsi="Arial" w:cs="Arial"/>
          <w:sz w:val="22"/>
          <w:szCs w:val="22"/>
        </w:rPr>
        <w:t>wie im Polstermöbelsektor</w:t>
      </w:r>
      <w:r w:rsidR="002F483F">
        <w:rPr>
          <w:rFonts w:ascii="Arial" w:hAnsi="Arial" w:cs="Arial"/>
          <w:sz w:val="22"/>
          <w:szCs w:val="22"/>
        </w:rPr>
        <w:t xml:space="preserve"> –</w:t>
      </w:r>
      <w:r w:rsidRPr="00A264DF">
        <w:rPr>
          <w:rFonts w:ascii="Arial" w:hAnsi="Arial" w:cs="Arial"/>
          <w:sz w:val="22"/>
          <w:szCs w:val="22"/>
        </w:rPr>
        <w:t xml:space="preserve"> wenn auch mit geringerer Ausprägung. </w:t>
      </w:r>
    </w:p>
    <w:p w:rsidR="002F483F" w:rsidRDefault="002F483F" w:rsidP="00A264DF">
      <w:pPr>
        <w:spacing w:line="360" w:lineRule="auto"/>
        <w:rPr>
          <w:rFonts w:ascii="Arial" w:hAnsi="Arial" w:cs="Arial"/>
          <w:sz w:val="22"/>
          <w:szCs w:val="22"/>
        </w:rPr>
      </w:pPr>
    </w:p>
    <w:p w:rsidR="004931BF" w:rsidRPr="00A264DF" w:rsidRDefault="002F483F" w:rsidP="003C3BCE">
      <w:pPr>
        <w:spacing w:line="360" w:lineRule="auto"/>
        <w:rPr>
          <w:sz w:val="22"/>
          <w:szCs w:val="22"/>
        </w:rPr>
      </w:pPr>
      <w:r>
        <w:rPr>
          <w:rFonts w:ascii="Arial" w:hAnsi="Arial" w:cs="Arial"/>
          <w:sz w:val="22"/>
          <w:szCs w:val="22"/>
        </w:rPr>
        <w:t xml:space="preserve">Dr. </w:t>
      </w:r>
      <w:r w:rsidR="00A264DF" w:rsidRPr="00A264DF">
        <w:rPr>
          <w:rFonts w:ascii="Arial" w:hAnsi="Arial" w:cs="Arial"/>
          <w:sz w:val="22"/>
          <w:szCs w:val="22"/>
        </w:rPr>
        <w:t>Heumann</w:t>
      </w:r>
      <w:r>
        <w:rPr>
          <w:rFonts w:ascii="Arial" w:hAnsi="Arial" w:cs="Arial"/>
          <w:sz w:val="22"/>
          <w:szCs w:val="22"/>
        </w:rPr>
        <w:t xml:space="preserve"> abschließend</w:t>
      </w:r>
      <w:r w:rsidR="00A264DF" w:rsidRPr="00A264DF">
        <w:rPr>
          <w:rFonts w:ascii="Arial" w:hAnsi="Arial" w:cs="Arial"/>
          <w:sz w:val="22"/>
          <w:szCs w:val="22"/>
        </w:rPr>
        <w:t>: „Aus den Veröffentlichungen der Außenhandelszahlen wissen wir, dass gerade im Wohn- und Schlafraumsektor die Importe deutlich stärker wachsen als die Exporte. Damit dürfte auch im Wohn- und Schlafraummöbelsektor eine Verschiebung zugunsten ausländischer Produktion stattfinden, allerdings mit geringerer Dynamik und geringerer Ausprägung als im Polstermöbelbereich.</w:t>
      </w:r>
      <w:r>
        <w:rPr>
          <w:rFonts w:ascii="Arial" w:hAnsi="Arial" w:cs="Arial"/>
          <w:sz w:val="22"/>
          <w:szCs w:val="22"/>
        </w:rPr>
        <w:t>“</w:t>
      </w:r>
      <w:bookmarkStart w:id="0" w:name="_GoBack"/>
      <w:bookmarkEnd w:id="0"/>
    </w:p>
    <w:sectPr w:rsidR="004931BF" w:rsidRPr="00A264DF" w:rsidSect="00C2093F">
      <w:headerReference w:type="even" r:id="rId9"/>
      <w:headerReference w:type="default" r:id="rId10"/>
      <w:footerReference w:type="even" r:id="rId11"/>
      <w:footerReference w:type="default" r:id="rId12"/>
      <w:headerReference w:type="first" r:id="rId13"/>
      <w:footerReference w:type="first" r:id="rId14"/>
      <w:pgSz w:w="11906" w:h="16838"/>
      <w:pgMar w:top="3544"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64" w:rsidRDefault="00CE1B64">
      <w:r>
        <w:separator/>
      </w:r>
    </w:p>
  </w:endnote>
  <w:endnote w:type="continuationSeparator" w:id="0">
    <w:p w:rsidR="00CE1B64" w:rsidRDefault="00CE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42" w:rsidRDefault="00BB07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05" w:rsidRDefault="00EC5105">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50DCF399" wp14:editId="477A21D4">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xml:space="preserve">.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sidR="0044108A">
                            <w:rPr>
                              <w:rFonts w:ascii="Arial" w:hAnsi="Arial" w:cs="Arial"/>
                              <w:color w:val="FF0000"/>
                              <w:sz w:val="18"/>
                              <w:szCs w:val="18"/>
                            </w:rPr>
                            <w:t>7</w:t>
                          </w:r>
                          <w:r>
                            <w:rPr>
                              <w:rFonts w:ascii="Arial" w:hAnsi="Arial" w:cs="Arial"/>
                              <w:color w:val="FF0000"/>
                              <w:sz w:val="18"/>
                              <w:szCs w:val="18"/>
                            </w:rPr>
                            <w:t>0</w:t>
                          </w:r>
                          <w:r w:rsidR="00A264DF">
                            <w:rPr>
                              <w:rFonts w:ascii="Arial" w:hAnsi="Arial" w:cs="Arial"/>
                              <w:color w:val="FF0000"/>
                              <w:sz w:val="18"/>
                              <w:szCs w:val="18"/>
                            </w:rPr>
                            <w:t>2</w:t>
                          </w:r>
                          <w:r w:rsidRPr="00F37DE0">
                            <w:rPr>
                              <w:rFonts w:ascii="Arial" w:hAnsi="Arial" w:cs="Arial"/>
                              <w:color w:val="FF0000"/>
                              <w:sz w:val="18"/>
                              <w:szCs w:val="18"/>
                            </w:rPr>
                            <w:t>)</w:t>
                          </w:r>
                        </w:p>
                        <w:p w:rsidR="00EC5105" w:rsidRPr="00DF2D03" w:rsidRDefault="00EC5105"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xml:space="preserve">.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sidR="0044108A">
                      <w:rPr>
                        <w:rFonts w:ascii="Arial" w:hAnsi="Arial" w:cs="Arial"/>
                        <w:color w:val="FF0000"/>
                        <w:sz w:val="18"/>
                        <w:szCs w:val="18"/>
                      </w:rPr>
                      <w:t>7</w:t>
                    </w:r>
                    <w:r>
                      <w:rPr>
                        <w:rFonts w:ascii="Arial" w:hAnsi="Arial" w:cs="Arial"/>
                        <w:color w:val="FF0000"/>
                        <w:sz w:val="18"/>
                        <w:szCs w:val="18"/>
                      </w:rPr>
                      <w:t>0</w:t>
                    </w:r>
                    <w:r w:rsidR="00A264DF">
                      <w:rPr>
                        <w:rFonts w:ascii="Arial" w:hAnsi="Arial" w:cs="Arial"/>
                        <w:color w:val="FF0000"/>
                        <w:sz w:val="18"/>
                        <w:szCs w:val="18"/>
                      </w:rPr>
                      <w:t>2</w:t>
                    </w:r>
                    <w:r w:rsidRPr="00F37DE0">
                      <w:rPr>
                        <w:rFonts w:ascii="Arial" w:hAnsi="Arial" w:cs="Arial"/>
                        <w:color w:val="FF0000"/>
                        <w:sz w:val="18"/>
                        <w:szCs w:val="18"/>
                      </w:rPr>
                      <w:t>)</w:t>
                    </w:r>
                  </w:p>
                  <w:p w:rsidR="00EC5105" w:rsidRPr="00DF2D03" w:rsidRDefault="00EC5105" w:rsidP="00DF2D0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42" w:rsidRDefault="00BB07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64" w:rsidRDefault="00CE1B64">
      <w:r>
        <w:separator/>
      </w:r>
    </w:p>
  </w:footnote>
  <w:footnote w:type="continuationSeparator" w:id="0">
    <w:p w:rsidR="00CE1B64" w:rsidRDefault="00CE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42" w:rsidRDefault="00BB07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05" w:rsidRPr="00CC7090" w:rsidRDefault="00EC5105"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0CBE048B" wp14:editId="70C0FE38">
          <wp:simplePos x="0" y="0"/>
          <wp:positionH relativeFrom="margin">
            <wp:posOffset>3960495</wp:posOffset>
          </wp:positionH>
          <wp:positionV relativeFrom="margin">
            <wp:posOffset>-1652270</wp:posOffset>
          </wp:positionV>
          <wp:extent cx="2339340" cy="922020"/>
          <wp:effectExtent l="0" t="0" r="3810" b="0"/>
          <wp:wrapSquare wrapText="bothSides"/>
          <wp:docPr id="6"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36E58D40" wp14:editId="1F68A11A">
          <wp:simplePos x="0" y="0"/>
          <wp:positionH relativeFrom="page">
            <wp:posOffset>-900430</wp:posOffset>
          </wp:positionH>
          <wp:positionV relativeFrom="page">
            <wp:posOffset>-1584325</wp:posOffset>
          </wp:positionV>
          <wp:extent cx="2339340" cy="922020"/>
          <wp:effectExtent l="19050" t="0" r="3810" b="0"/>
          <wp:wrapSquare wrapText="bothSides"/>
          <wp:docPr id="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EC5105" w:rsidRPr="007A02D4" w:rsidRDefault="00A264DF"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Febru</w:t>
    </w:r>
    <w:r w:rsidR="0044108A">
      <w:rPr>
        <w:rFonts w:ascii="Arial" w:hAnsi="Arial" w:cs="Arial"/>
        <w:color w:val="808080"/>
      </w:rPr>
      <w:t>ar 2017</w:t>
    </w:r>
  </w:p>
  <w:p w:rsidR="00EC5105" w:rsidRPr="007A02D4" w:rsidRDefault="00EC5105"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3C3BCE">
      <w:rPr>
        <w:rFonts w:ascii="Arial" w:hAnsi="Arial" w:cs="Arial"/>
        <w:noProof/>
        <w:color w:val="808080"/>
      </w:rPr>
      <w:t>4</w:t>
    </w:r>
    <w:r w:rsidRPr="007A02D4">
      <w:rPr>
        <w:rFonts w:ascii="Arial" w:hAnsi="Arial" w:cs="Arial"/>
        <w:color w:val="808080"/>
      </w:rPr>
      <w:fldChar w:fldCharType="end"/>
    </w:r>
  </w:p>
  <w:p w:rsidR="00EC5105" w:rsidRDefault="00EC5105">
    <w:pPr>
      <w:pStyle w:val="Kopfzeile"/>
      <w:spacing w:line="360" w:lineRule="auto"/>
      <w:rPr>
        <w:rFonts w:ascii="Arial" w:hAnsi="Arial" w:cs="Arial"/>
      </w:rPr>
    </w:pPr>
  </w:p>
  <w:p w:rsidR="00EC5105" w:rsidRDefault="00EC5105">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0BF9158D" wp14:editId="6DBC710D">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xml:space="preserve">.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047AB036" wp14:editId="71C6A86F">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xml:space="preserve">.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6B78983D" wp14:editId="0C753D7F">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7149EDB7" wp14:editId="3C317832">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42" w:rsidRDefault="00BB07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047C"/>
    <w:rsid w:val="000318DE"/>
    <w:rsid w:val="00034469"/>
    <w:rsid w:val="00037FD1"/>
    <w:rsid w:val="00040EB2"/>
    <w:rsid w:val="0004146A"/>
    <w:rsid w:val="000462F1"/>
    <w:rsid w:val="00051C07"/>
    <w:rsid w:val="00051DDA"/>
    <w:rsid w:val="000558BF"/>
    <w:rsid w:val="000569ED"/>
    <w:rsid w:val="00064A38"/>
    <w:rsid w:val="00075B99"/>
    <w:rsid w:val="000779BD"/>
    <w:rsid w:val="00081FF8"/>
    <w:rsid w:val="00082C55"/>
    <w:rsid w:val="000873B1"/>
    <w:rsid w:val="000878B7"/>
    <w:rsid w:val="00092A0E"/>
    <w:rsid w:val="0009736A"/>
    <w:rsid w:val="000A2E96"/>
    <w:rsid w:val="000A59B6"/>
    <w:rsid w:val="000A77CE"/>
    <w:rsid w:val="000A7EDA"/>
    <w:rsid w:val="000B1C8C"/>
    <w:rsid w:val="000B3051"/>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42AD"/>
    <w:rsid w:val="001154C4"/>
    <w:rsid w:val="00115F07"/>
    <w:rsid w:val="001160E1"/>
    <w:rsid w:val="00116FDF"/>
    <w:rsid w:val="0012042C"/>
    <w:rsid w:val="001338E4"/>
    <w:rsid w:val="00133F49"/>
    <w:rsid w:val="001355CD"/>
    <w:rsid w:val="00136645"/>
    <w:rsid w:val="00137FF9"/>
    <w:rsid w:val="001428A4"/>
    <w:rsid w:val="001477E4"/>
    <w:rsid w:val="00150B80"/>
    <w:rsid w:val="00163F99"/>
    <w:rsid w:val="00174C8B"/>
    <w:rsid w:val="00176FA2"/>
    <w:rsid w:val="00177EB9"/>
    <w:rsid w:val="00181FEC"/>
    <w:rsid w:val="00183265"/>
    <w:rsid w:val="00183DAB"/>
    <w:rsid w:val="00186B7D"/>
    <w:rsid w:val="00187F96"/>
    <w:rsid w:val="00191B81"/>
    <w:rsid w:val="00192545"/>
    <w:rsid w:val="0019542A"/>
    <w:rsid w:val="001A1A5F"/>
    <w:rsid w:val="001A47DC"/>
    <w:rsid w:val="001A744C"/>
    <w:rsid w:val="001B39EA"/>
    <w:rsid w:val="001C132C"/>
    <w:rsid w:val="001C1B7E"/>
    <w:rsid w:val="001C4C99"/>
    <w:rsid w:val="001C550C"/>
    <w:rsid w:val="001D1558"/>
    <w:rsid w:val="001D285A"/>
    <w:rsid w:val="001D29D5"/>
    <w:rsid w:val="001D2BCD"/>
    <w:rsid w:val="001D30FB"/>
    <w:rsid w:val="001D352E"/>
    <w:rsid w:val="001E5EB5"/>
    <w:rsid w:val="001E6A83"/>
    <w:rsid w:val="001F2DE0"/>
    <w:rsid w:val="001F6148"/>
    <w:rsid w:val="002011DB"/>
    <w:rsid w:val="00215FBB"/>
    <w:rsid w:val="00220993"/>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0880"/>
    <w:rsid w:val="00282EA1"/>
    <w:rsid w:val="00292E05"/>
    <w:rsid w:val="002A07A8"/>
    <w:rsid w:val="002A48CA"/>
    <w:rsid w:val="002A6F4E"/>
    <w:rsid w:val="002B47DA"/>
    <w:rsid w:val="002B51CE"/>
    <w:rsid w:val="002B5657"/>
    <w:rsid w:val="002B751F"/>
    <w:rsid w:val="002C2739"/>
    <w:rsid w:val="002C31FC"/>
    <w:rsid w:val="002C4C05"/>
    <w:rsid w:val="002C6148"/>
    <w:rsid w:val="002C7BBA"/>
    <w:rsid w:val="002D7A13"/>
    <w:rsid w:val="002E2DAA"/>
    <w:rsid w:val="002E6C8E"/>
    <w:rsid w:val="002F483F"/>
    <w:rsid w:val="0030469A"/>
    <w:rsid w:val="00307536"/>
    <w:rsid w:val="0031200F"/>
    <w:rsid w:val="00317E14"/>
    <w:rsid w:val="00320410"/>
    <w:rsid w:val="00320820"/>
    <w:rsid w:val="00321F9E"/>
    <w:rsid w:val="0033013B"/>
    <w:rsid w:val="003317CF"/>
    <w:rsid w:val="00335248"/>
    <w:rsid w:val="00341ED1"/>
    <w:rsid w:val="00343868"/>
    <w:rsid w:val="00345597"/>
    <w:rsid w:val="003461FD"/>
    <w:rsid w:val="003462E9"/>
    <w:rsid w:val="00346982"/>
    <w:rsid w:val="00353E09"/>
    <w:rsid w:val="00360B37"/>
    <w:rsid w:val="00367572"/>
    <w:rsid w:val="00375902"/>
    <w:rsid w:val="00376314"/>
    <w:rsid w:val="00380202"/>
    <w:rsid w:val="00380374"/>
    <w:rsid w:val="00382251"/>
    <w:rsid w:val="00385183"/>
    <w:rsid w:val="0038632E"/>
    <w:rsid w:val="00386DFE"/>
    <w:rsid w:val="00392AA0"/>
    <w:rsid w:val="003930E2"/>
    <w:rsid w:val="00393DF3"/>
    <w:rsid w:val="00396BD3"/>
    <w:rsid w:val="003A11D6"/>
    <w:rsid w:val="003A34AA"/>
    <w:rsid w:val="003A5B7F"/>
    <w:rsid w:val="003B3E6E"/>
    <w:rsid w:val="003B699C"/>
    <w:rsid w:val="003B72F8"/>
    <w:rsid w:val="003C3BCE"/>
    <w:rsid w:val="003D2B45"/>
    <w:rsid w:val="003D47E9"/>
    <w:rsid w:val="003D5600"/>
    <w:rsid w:val="003E1349"/>
    <w:rsid w:val="003E1C78"/>
    <w:rsid w:val="003E1F72"/>
    <w:rsid w:val="003E2139"/>
    <w:rsid w:val="003E7259"/>
    <w:rsid w:val="004054E1"/>
    <w:rsid w:val="00406A58"/>
    <w:rsid w:val="00410B75"/>
    <w:rsid w:val="004173DB"/>
    <w:rsid w:val="0042515B"/>
    <w:rsid w:val="004256FD"/>
    <w:rsid w:val="004267A3"/>
    <w:rsid w:val="00427BF7"/>
    <w:rsid w:val="00427DAB"/>
    <w:rsid w:val="004310C5"/>
    <w:rsid w:val="004374AB"/>
    <w:rsid w:val="00440971"/>
    <w:rsid w:val="0044108A"/>
    <w:rsid w:val="00444B46"/>
    <w:rsid w:val="00445618"/>
    <w:rsid w:val="004465E4"/>
    <w:rsid w:val="0045150B"/>
    <w:rsid w:val="00454800"/>
    <w:rsid w:val="004562CE"/>
    <w:rsid w:val="00464352"/>
    <w:rsid w:val="00470AF8"/>
    <w:rsid w:val="00470DFE"/>
    <w:rsid w:val="00471D27"/>
    <w:rsid w:val="00471E85"/>
    <w:rsid w:val="0047596A"/>
    <w:rsid w:val="00477F9D"/>
    <w:rsid w:val="004856CA"/>
    <w:rsid w:val="00490379"/>
    <w:rsid w:val="004931BF"/>
    <w:rsid w:val="00496DC8"/>
    <w:rsid w:val="00497306"/>
    <w:rsid w:val="004A037F"/>
    <w:rsid w:val="004A0734"/>
    <w:rsid w:val="004A4319"/>
    <w:rsid w:val="004C25BC"/>
    <w:rsid w:val="004C326C"/>
    <w:rsid w:val="004C7903"/>
    <w:rsid w:val="004D1E22"/>
    <w:rsid w:val="004D49C9"/>
    <w:rsid w:val="004D7E62"/>
    <w:rsid w:val="004E09A6"/>
    <w:rsid w:val="004E3BC9"/>
    <w:rsid w:val="004F38DC"/>
    <w:rsid w:val="004F508E"/>
    <w:rsid w:val="004F64ED"/>
    <w:rsid w:val="005003EE"/>
    <w:rsid w:val="005026A3"/>
    <w:rsid w:val="00504B85"/>
    <w:rsid w:val="00504BC2"/>
    <w:rsid w:val="005069F3"/>
    <w:rsid w:val="00507E44"/>
    <w:rsid w:val="00521465"/>
    <w:rsid w:val="00525968"/>
    <w:rsid w:val="00533CF8"/>
    <w:rsid w:val="005340E3"/>
    <w:rsid w:val="00534E76"/>
    <w:rsid w:val="00536B1D"/>
    <w:rsid w:val="005534A9"/>
    <w:rsid w:val="00562F25"/>
    <w:rsid w:val="005670EA"/>
    <w:rsid w:val="00583184"/>
    <w:rsid w:val="00586180"/>
    <w:rsid w:val="005864F1"/>
    <w:rsid w:val="00591125"/>
    <w:rsid w:val="00591293"/>
    <w:rsid w:val="005915D2"/>
    <w:rsid w:val="00591685"/>
    <w:rsid w:val="005946B1"/>
    <w:rsid w:val="005A618F"/>
    <w:rsid w:val="005A7351"/>
    <w:rsid w:val="005B3EBC"/>
    <w:rsid w:val="005C07A0"/>
    <w:rsid w:val="005C1196"/>
    <w:rsid w:val="005C1D2D"/>
    <w:rsid w:val="005C23CE"/>
    <w:rsid w:val="005C2BC1"/>
    <w:rsid w:val="005C2DC7"/>
    <w:rsid w:val="005D3913"/>
    <w:rsid w:val="005D7A16"/>
    <w:rsid w:val="005D7A3D"/>
    <w:rsid w:val="005E167E"/>
    <w:rsid w:val="005E3FC4"/>
    <w:rsid w:val="005F0647"/>
    <w:rsid w:val="005F0F7C"/>
    <w:rsid w:val="005F33AA"/>
    <w:rsid w:val="005F3B8E"/>
    <w:rsid w:val="005F79B1"/>
    <w:rsid w:val="00606E29"/>
    <w:rsid w:val="00607343"/>
    <w:rsid w:val="00611B74"/>
    <w:rsid w:val="006259C1"/>
    <w:rsid w:val="00625DCA"/>
    <w:rsid w:val="0063368F"/>
    <w:rsid w:val="006336B4"/>
    <w:rsid w:val="006357E7"/>
    <w:rsid w:val="0063691A"/>
    <w:rsid w:val="0064029B"/>
    <w:rsid w:val="006415AD"/>
    <w:rsid w:val="00642F26"/>
    <w:rsid w:val="00643597"/>
    <w:rsid w:val="00646627"/>
    <w:rsid w:val="0064764F"/>
    <w:rsid w:val="00650274"/>
    <w:rsid w:val="00652B63"/>
    <w:rsid w:val="006536C5"/>
    <w:rsid w:val="006600F8"/>
    <w:rsid w:val="00660144"/>
    <w:rsid w:val="00661512"/>
    <w:rsid w:val="0066290F"/>
    <w:rsid w:val="00675B93"/>
    <w:rsid w:val="00676A29"/>
    <w:rsid w:val="00677AB6"/>
    <w:rsid w:val="00677C4C"/>
    <w:rsid w:val="00681C8C"/>
    <w:rsid w:val="00687032"/>
    <w:rsid w:val="00690912"/>
    <w:rsid w:val="00693D21"/>
    <w:rsid w:val="006942B3"/>
    <w:rsid w:val="006A320E"/>
    <w:rsid w:val="006A4C02"/>
    <w:rsid w:val="006B2582"/>
    <w:rsid w:val="006B752B"/>
    <w:rsid w:val="006C3816"/>
    <w:rsid w:val="006C3E8B"/>
    <w:rsid w:val="006D74B4"/>
    <w:rsid w:val="006E5202"/>
    <w:rsid w:val="006E5B2C"/>
    <w:rsid w:val="006E7690"/>
    <w:rsid w:val="006F1F62"/>
    <w:rsid w:val="006F41EF"/>
    <w:rsid w:val="006F5FE1"/>
    <w:rsid w:val="007003DF"/>
    <w:rsid w:val="00710184"/>
    <w:rsid w:val="00712598"/>
    <w:rsid w:val="007128E9"/>
    <w:rsid w:val="0071347F"/>
    <w:rsid w:val="00736D00"/>
    <w:rsid w:val="0074226D"/>
    <w:rsid w:val="007429F8"/>
    <w:rsid w:val="00743567"/>
    <w:rsid w:val="0074608E"/>
    <w:rsid w:val="00752BEE"/>
    <w:rsid w:val="007557E9"/>
    <w:rsid w:val="00762557"/>
    <w:rsid w:val="00766513"/>
    <w:rsid w:val="00771CCD"/>
    <w:rsid w:val="00782F3A"/>
    <w:rsid w:val="0078324A"/>
    <w:rsid w:val="007843B9"/>
    <w:rsid w:val="007869F7"/>
    <w:rsid w:val="00786B09"/>
    <w:rsid w:val="00787128"/>
    <w:rsid w:val="00790758"/>
    <w:rsid w:val="0079245D"/>
    <w:rsid w:val="007A02D4"/>
    <w:rsid w:val="007A27A0"/>
    <w:rsid w:val="007A3962"/>
    <w:rsid w:val="007A39C6"/>
    <w:rsid w:val="007A3FBA"/>
    <w:rsid w:val="007A4BF3"/>
    <w:rsid w:val="007A4D17"/>
    <w:rsid w:val="007A72C0"/>
    <w:rsid w:val="007B1578"/>
    <w:rsid w:val="007B48C9"/>
    <w:rsid w:val="007B5BD6"/>
    <w:rsid w:val="007B6C64"/>
    <w:rsid w:val="007B7461"/>
    <w:rsid w:val="007C54F0"/>
    <w:rsid w:val="007D48FB"/>
    <w:rsid w:val="007D5433"/>
    <w:rsid w:val="007D75B4"/>
    <w:rsid w:val="007E6A5A"/>
    <w:rsid w:val="007F1438"/>
    <w:rsid w:val="007F419F"/>
    <w:rsid w:val="007F558F"/>
    <w:rsid w:val="0080252C"/>
    <w:rsid w:val="008025FD"/>
    <w:rsid w:val="008152E5"/>
    <w:rsid w:val="008155A0"/>
    <w:rsid w:val="00820AD1"/>
    <w:rsid w:val="00824E2B"/>
    <w:rsid w:val="00825659"/>
    <w:rsid w:val="00825E3B"/>
    <w:rsid w:val="008275BF"/>
    <w:rsid w:val="00830129"/>
    <w:rsid w:val="00835238"/>
    <w:rsid w:val="00835458"/>
    <w:rsid w:val="00835984"/>
    <w:rsid w:val="008456E5"/>
    <w:rsid w:val="00845D39"/>
    <w:rsid w:val="008471EF"/>
    <w:rsid w:val="00853783"/>
    <w:rsid w:val="00853BE7"/>
    <w:rsid w:val="00855D87"/>
    <w:rsid w:val="00863641"/>
    <w:rsid w:val="00866200"/>
    <w:rsid w:val="00866B8A"/>
    <w:rsid w:val="00866CF8"/>
    <w:rsid w:val="00866EA4"/>
    <w:rsid w:val="00875AAB"/>
    <w:rsid w:val="00880584"/>
    <w:rsid w:val="008805FA"/>
    <w:rsid w:val="00882E4E"/>
    <w:rsid w:val="00887350"/>
    <w:rsid w:val="00890C26"/>
    <w:rsid w:val="00891102"/>
    <w:rsid w:val="00892480"/>
    <w:rsid w:val="00894505"/>
    <w:rsid w:val="00896C13"/>
    <w:rsid w:val="0089785D"/>
    <w:rsid w:val="008A128A"/>
    <w:rsid w:val="008A20BA"/>
    <w:rsid w:val="008A3A5C"/>
    <w:rsid w:val="008A4F8A"/>
    <w:rsid w:val="008A7067"/>
    <w:rsid w:val="008B08C8"/>
    <w:rsid w:val="008B163C"/>
    <w:rsid w:val="008B2F14"/>
    <w:rsid w:val="008B6BCB"/>
    <w:rsid w:val="008C4453"/>
    <w:rsid w:val="008D09FE"/>
    <w:rsid w:val="008D17C7"/>
    <w:rsid w:val="008D5A76"/>
    <w:rsid w:val="008E2F92"/>
    <w:rsid w:val="008E5148"/>
    <w:rsid w:val="008E5EDB"/>
    <w:rsid w:val="008F56BC"/>
    <w:rsid w:val="008F7D4E"/>
    <w:rsid w:val="00905884"/>
    <w:rsid w:val="00905E23"/>
    <w:rsid w:val="00905F31"/>
    <w:rsid w:val="0091128C"/>
    <w:rsid w:val="00912B4C"/>
    <w:rsid w:val="00917FB8"/>
    <w:rsid w:val="0093019F"/>
    <w:rsid w:val="009370A2"/>
    <w:rsid w:val="00944986"/>
    <w:rsid w:val="00946B2C"/>
    <w:rsid w:val="00956E8F"/>
    <w:rsid w:val="00962937"/>
    <w:rsid w:val="00966C95"/>
    <w:rsid w:val="009700F3"/>
    <w:rsid w:val="00972159"/>
    <w:rsid w:val="00973CD7"/>
    <w:rsid w:val="00975BBA"/>
    <w:rsid w:val="0097604F"/>
    <w:rsid w:val="0097769C"/>
    <w:rsid w:val="00982B6E"/>
    <w:rsid w:val="009935D7"/>
    <w:rsid w:val="00994038"/>
    <w:rsid w:val="009954B3"/>
    <w:rsid w:val="009A109E"/>
    <w:rsid w:val="009A186A"/>
    <w:rsid w:val="009A28DF"/>
    <w:rsid w:val="009A2B10"/>
    <w:rsid w:val="009A3BB2"/>
    <w:rsid w:val="009A5303"/>
    <w:rsid w:val="009A6578"/>
    <w:rsid w:val="009B0BBC"/>
    <w:rsid w:val="009B3A01"/>
    <w:rsid w:val="009B4204"/>
    <w:rsid w:val="009B680A"/>
    <w:rsid w:val="009C05E0"/>
    <w:rsid w:val="009C2D2E"/>
    <w:rsid w:val="009D087B"/>
    <w:rsid w:val="009D43D1"/>
    <w:rsid w:val="009D565C"/>
    <w:rsid w:val="009D69D0"/>
    <w:rsid w:val="009D7FAD"/>
    <w:rsid w:val="009E0106"/>
    <w:rsid w:val="009E1F5D"/>
    <w:rsid w:val="009E7324"/>
    <w:rsid w:val="009F01A8"/>
    <w:rsid w:val="009F0F22"/>
    <w:rsid w:val="009F1571"/>
    <w:rsid w:val="009F241C"/>
    <w:rsid w:val="00A0110F"/>
    <w:rsid w:val="00A05A57"/>
    <w:rsid w:val="00A06B5C"/>
    <w:rsid w:val="00A158DA"/>
    <w:rsid w:val="00A15E02"/>
    <w:rsid w:val="00A15F2F"/>
    <w:rsid w:val="00A17167"/>
    <w:rsid w:val="00A264DF"/>
    <w:rsid w:val="00A26925"/>
    <w:rsid w:val="00A41A6E"/>
    <w:rsid w:val="00A41E9F"/>
    <w:rsid w:val="00A421EA"/>
    <w:rsid w:val="00A42860"/>
    <w:rsid w:val="00A455D6"/>
    <w:rsid w:val="00A527EA"/>
    <w:rsid w:val="00A627BA"/>
    <w:rsid w:val="00A63DF2"/>
    <w:rsid w:val="00A64222"/>
    <w:rsid w:val="00A71FA0"/>
    <w:rsid w:val="00A84CD1"/>
    <w:rsid w:val="00A85079"/>
    <w:rsid w:val="00A859B9"/>
    <w:rsid w:val="00A9102F"/>
    <w:rsid w:val="00A9589F"/>
    <w:rsid w:val="00AB09B9"/>
    <w:rsid w:val="00AB0B17"/>
    <w:rsid w:val="00AB1E76"/>
    <w:rsid w:val="00AB47E1"/>
    <w:rsid w:val="00AB588A"/>
    <w:rsid w:val="00AB58DA"/>
    <w:rsid w:val="00AB5C64"/>
    <w:rsid w:val="00AC22C9"/>
    <w:rsid w:val="00AD2CAC"/>
    <w:rsid w:val="00AD3C98"/>
    <w:rsid w:val="00AD78B8"/>
    <w:rsid w:val="00AE33F3"/>
    <w:rsid w:val="00AE4659"/>
    <w:rsid w:val="00AE727E"/>
    <w:rsid w:val="00AF3161"/>
    <w:rsid w:val="00AF38FC"/>
    <w:rsid w:val="00AF541B"/>
    <w:rsid w:val="00B0221F"/>
    <w:rsid w:val="00B023F2"/>
    <w:rsid w:val="00B061F5"/>
    <w:rsid w:val="00B11469"/>
    <w:rsid w:val="00B11E2C"/>
    <w:rsid w:val="00B13D0B"/>
    <w:rsid w:val="00B14213"/>
    <w:rsid w:val="00B15834"/>
    <w:rsid w:val="00B20D58"/>
    <w:rsid w:val="00B23D29"/>
    <w:rsid w:val="00B254C4"/>
    <w:rsid w:val="00B300B2"/>
    <w:rsid w:val="00B36BBC"/>
    <w:rsid w:val="00B40D18"/>
    <w:rsid w:val="00B61861"/>
    <w:rsid w:val="00B64AC2"/>
    <w:rsid w:val="00B71AA5"/>
    <w:rsid w:val="00B7598A"/>
    <w:rsid w:val="00B81354"/>
    <w:rsid w:val="00B84349"/>
    <w:rsid w:val="00B91CE4"/>
    <w:rsid w:val="00B947D6"/>
    <w:rsid w:val="00BB0742"/>
    <w:rsid w:val="00BB49EF"/>
    <w:rsid w:val="00BC110A"/>
    <w:rsid w:val="00BC3134"/>
    <w:rsid w:val="00BC3D24"/>
    <w:rsid w:val="00BC3EE1"/>
    <w:rsid w:val="00BC422E"/>
    <w:rsid w:val="00BC5278"/>
    <w:rsid w:val="00BD19EC"/>
    <w:rsid w:val="00BD211C"/>
    <w:rsid w:val="00BD246E"/>
    <w:rsid w:val="00BD424C"/>
    <w:rsid w:val="00BD5E38"/>
    <w:rsid w:val="00BE2F8E"/>
    <w:rsid w:val="00BE4B09"/>
    <w:rsid w:val="00BE4F0E"/>
    <w:rsid w:val="00BE626D"/>
    <w:rsid w:val="00BE7BDA"/>
    <w:rsid w:val="00BF2E62"/>
    <w:rsid w:val="00BF3182"/>
    <w:rsid w:val="00BF376E"/>
    <w:rsid w:val="00BF7E4F"/>
    <w:rsid w:val="00C0343D"/>
    <w:rsid w:val="00C056BC"/>
    <w:rsid w:val="00C07672"/>
    <w:rsid w:val="00C2093F"/>
    <w:rsid w:val="00C23D06"/>
    <w:rsid w:val="00C24AB0"/>
    <w:rsid w:val="00C30633"/>
    <w:rsid w:val="00C34D4F"/>
    <w:rsid w:val="00C45D01"/>
    <w:rsid w:val="00C464F4"/>
    <w:rsid w:val="00C5177E"/>
    <w:rsid w:val="00C60B0F"/>
    <w:rsid w:val="00C63E76"/>
    <w:rsid w:val="00C66216"/>
    <w:rsid w:val="00C6711B"/>
    <w:rsid w:val="00C7067C"/>
    <w:rsid w:val="00C71BF1"/>
    <w:rsid w:val="00C8263B"/>
    <w:rsid w:val="00C91F7B"/>
    <w:rsid w:val="00C9282E"/>
    <w:rsid w:val="00C92EFA"/>
    <w:rsid w:val="00CA156A"/>
    <w:rsid w:val="00CA40C8"/>
    <w:rsid w:val="00CA55E3"/>
    <w:rsid w:val="00CB4F65"/>
    <w:rsid w:val="00CC0895"/>
    <w:rsid w:val="00CC0F67"/>
    <w:rsid w:val="00CC54F5"/>
    <w:rsid w:val="00CC7090"/>
    <w:rsid w:val="00CD18D4"/>
    <w:rsid w:val="00CD2B44"/>
    <w:rsid w:val="00CE1B64"/>
    <w:rsid w:val="00CE61D7"/>
    <w:rsid w:val="00CF1FC8"/>
    <w:rsid w:val="00CF590C"/>
    <w:rsid w:val="00D01035"/>
    <w:rsid w:val="00D04176"/>
    <w:rsid w:val="00D20A53"/>
    <w:rsid w:val="00D26399"/>
    <w:rsid w:val="00D303AD"/>
    <w:rsid w:val="00D3174E"/>
    <w:rsid w:val="00D347CE"/>
    <w:rsid w:val="00D364C6"/>
    <w:rsid w:val="00D40AC2"/>
    <w:rsid w:val="00D44BE1"/>
    <w:rsid w:val="00D45106"/>
    <w:rsid w:val="00D476DE"/>
    <w:rsid w:val="00D5640F"/>
    <w:rsid w:val="00D56FC9"/>
    <w:rsid w:val="00D618E8"/>
    <w:rsid w:val="00D6437A"/>
    <w:rsid w:val="00D654A0"/>
    <w:rsid w:val="00D65CEA"/>
    <w:rsid w:val="00D67DF6"/>
    <w:rsid w:val="00D704AD"/>
    <w:rsid w:val="00D763BC"/>
    <w:rsid w:val="00D76F5D"/>
    <w:rsid w:val="00D80A9B"/>
    <w:rsid w:val="00D81478"/>
    <w:rsid w:val="00D828A5"/>
    <w:rsid w:val="00D83C18"/>
    <w:rsid w:val="00D84926"/>
    <w:rsid w:val="00D9206A"/>
    <w:rsid w:val="00D92316"/>
    <w:rsid w:val="00D9456B"/>
    <w:rsid w:val="00D9508C"/>
    <w:rsid w:val="00D97A99"/>
    <w:rsid w:val="00D97E59"/>
    <w:rsid w:val="00DA1B18"/>
    <w:rsid w:val="00DA42A8"/>
    <w:rsid w:val="00DA6AAE"/>
    <w:rsid w:val="00DA7120"/>
    <w:rsid w:val="00DB0E62"/>
    <w:rsid w:val="00DB331D"/>
    <w:rsid w:val="00DB42C8"/>
    <w:rsid w:val="00DB736E"/>
    <w:rsid w:val="00DC002F"/>
    <w:rsid w:val="00DC32A7"/>
    <w:rsid w:val="00DC4879"/>
    <w:rsid w:val="00DC6951"/>
    <w:rsid w:val="00DD05B8"/>
    <w:rsid w:val="00DD2B37"/>
    <w:rsid w:val="00DD30AE"/>
    <w:rsid w:val="00DE67B6"/>
    <w:rsid w:val="00DE7616"/>
    <w:rsid w:val="00DF2D03"/>
    <w:rsid w:val="00DF3C65"/>
    <w:rsid w:val="00DF599D"/>
    <w:rsid w:val="00E0000D"/>
    <w:rsid w:val="00E00083"/>
    <w:rsid w:val="00E022D8"/>
    <w:rsid w:val="00E146D3"/>
    <w:rsid w:val="00E14B8C"/>
    <w:rsid w:val="00E30C2B"/>
    <w:rsid w:val="00E317C7"/>
    <w:rsid w:val="00E37329"/>
    <w:rsid w:val="00E41768"/>
    <w:rsid w:val="00E41AF5"/>
    <w:rsid w:val="00E5316B"/>
    <w:rsid w:val="00E5343A"/>
    <w:rsid w:val="00E55CC6"/>
    <w:rsid w:val="00E55F5F"/>
    <w:rsid w:val="00E562CB"/>
    <w:rsid w:val="00E859F1"/>
    <w:rsid w:val="00E90628"/>
    <w:rsid w:val="00E959D2"/>
    <w:rsid w:val="00EA3C87"/>
    <w:rsid w:val="00EA401D"/>
    <w:rsid w:val="00EB2453"/>
    <w:rsid w:val="00EB765C"/>
    <w:rsid w:val="00EC167E"/>
    <w:rsid w:val="00EC3C5A"/>
    <w:rsid w:val="00EC4BE3"/>
    <w:rsid w:val="00EC5105"/>
    <w:rsid w:val="00EC5423"/>
    <w:rsid w:val="00ED5A4E"/>
    <w:rsid w:val="00ED6BA0"/>
    <w:rsid w:val="00ED715C"/>
    <w:rsid w:val="00ED7410"/>
    <w:rsid w:val="00ED7D8F"/>
    <w:rsid w:val="00EE11A0"/>
    <w:rsid w:val="00EE4485"/>
    <w:rsid w:val="00EE5378"/>
    <w:rsid w:val="00EF1BB5"/>
    <w:rsid w:val="00EF71E0"/>
    <w:rsid w:val="00EF73C8"/>
    <w:rsid w:val="00F06455"/>
    <w:rsid w:val="00F130A2"/>
    <w:rsid w:val="00F15E53"/>
    <w:rsid w:val="00F16D5A"/>
    <w:rsid w:val="00F17364"/>
    <w:rsid w:val="00F17A85"/>
    <w:rsid w:val="00F2678F"/>
    <w:rsid w:val="00F27F95"/>
    <w:rsid w:val="00F30FD6"/>
    <w:rsid w:val="00F310E8"/>
    <w:rsid w:val="00F37DE0"/>
    <w:rsid w:val="00F41A8C"/>
    <w:rsid w:val="00F50BF4"/>
    <w:rsid w:val="00F5198E"/>
    <w:rsid w:val="00F6249A"/>
    <w:rsid w:val="00F62813"/>
    <w:rsid w:val="00F63162"/>
    <w:rsid w:val="00F64148"/>
    <w:rsid w:val="00F64482"/>
    <w:rsid w:val="00F67984"/>
    <w:rsid w:val="00F778D3"/>
    <w:rsid w:val="00F77E2D"/>
    <w:rsid w:val="00F85B57"/>
    <w:rsid w:val="00F85BAC"/>
    <w:rsid w:val="00F87FEA"/>
    <w:rsid w:val="00F90F77"/>
    <w:rsid w:val="00FA76CE"/>
    <w:rsid w:val="00FB56BD"/>
    <w:rsid w:val="00FB5850"/>
    <w:rsid w:val="00FC03D5"/>
    <w:rsid w:val="00FC6059"/>
    <w:rsid w:val="00FF1580"/>
    <w:rsid w:val="00FF2813"/>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styleId="Kommentarzeichen">
    <w:name w:val="annotation reference"/>
    <w:basedOn w:val="Absatz-Standardschriftart"/>
    <w:semiHidden/>
    <w:unhideWhenUsed/>
    <w:rsid w:val="0078324A"/>
    <w:rPr>
      <w:sz w:val="16"/>
      <w:szCs w:val="16"/>
    </w:rPr>
  </w:style>
  <w:style w:type="paragraph" w:styleId="Kommentartext">
    <w:name w:val="annotation text"/>
    <w:basedOn w:val="Standard"/>
    <w:link w:val="KommentartextZchn"/>
    <w:semiHidden/>
    <w:unhideWhenUsed/>
    <w:rsid w:val="0078324A"/>
    <w:rPr>
      <w:sz w:val="20"/>
      <w:szCs w:val="20"/>
    </w:rPr>
  </w:style>
  <w:style w:type="character" w:customStyle="1" w:styleId="KommentartextZchn">
    <w:name w:val="Kommentartext Zchn"/>
    <w:basedOn w:val="Absatz-Standardschriftart"/>
    <w:link w:val="Kommentartext"/>
    <w:semiHidden/>
    <w:rsid w:val="0078324A"/>
  </w:style>
  <w:style w:type="paragraph" w:styleId="Kommentarthema">
    <w:name w:val="annotation subject"/>
    <w:basedOn w:val="Kommentartext"/>
    <w:next w:val="Kommentartext"/>
    <w:link w:val="KommentarthemaZchn"/>
    <w:semiHidden/>
    <w:unhideWhenUsed/>
    <w:rsid w:val="0078324A"/>
    <w:rPr>
      <w:b/>
      <w:bCs/>
    </w:rPr>
  </w:style>
  <w:style w:type="character" w:customStyle="1" w:styleId="KommentarthemaZchn">
    <w:name w:val="Kommentarthema Zchn"/>
    <w:basedOn w:val="KommentartextZchn"/>
    <w:link w:val="Kommentarthema"/>
    <w:semiHidden/>
    <w:rsid w:val="007832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styleId="Kommentarzeichen">
    <w:name w:val="annotation reference"/>
    <w:basedOn w:val="Absatz-Standardschriftart"/>
    <w:semiHidden/>
    <w:unhideWhenUsed/>
    <w:rsid w:val="0078324A"/>
    <w:rPr>
      <w:sz w:val="16"/>
      <w:szCs w:val="16"/>
    </w:rPr>
  </w:style>
  <w:style w:type="paragraph" w:styleId="Kommentartext">
    <w:name w:val="annotation text"/>
    <w:basedOn w:val="Standard"/>
    <w:link w:val="KommentartextZchn"/>
    <w:semiHidden/>
    <w:unhideWhenUsed/>
    <w:rsid w:val="0078324A"/>
    <w:rPr>
      <w:sz w:val="20"/>
      <w:szCs w:val="20"/>
    </w:rPr>
  </w:style>
  <w:style w:type="character" w:customStyle="1" w:styleId="KommentartextZchn">
    <w:name w:val="Kommentartext Zchn"/>
    <w:basedOn w:val="Absatz-Standardschriftart"/>
    <w:link w:val="Kommentartext"/>
    <w:semiHidden/>
    <w:rsid w:val="0078324A"/>
  </w:style>
  <w:style w:type="paragraph" w:styleId="Kommentarthema">
    <w:name w:val="annotation subject"/>
    <w:basedOn w:val="Kommentartext"/>
    <w:next w:val="Kommentartext"/>
    <w:link w:val="KommentarthemaZchn"/>
    <w:semiHidden/>
    <w:unhideWhenUsed/>
    <w:rsid w:val="0078324A"/>
    <w:rPr>
      <w:b/>
      <w:bCs/>
    </w:rPr>
  </w:style>
  <w:style w:type="character" w:customStyle="1" w:styleId="KommentarthemaZchn">
    <w:name w:val="Kommentarthema Zchn"/>
    <w:basedOn w:val="KommentartextZchn"/>
    <w:link w:val="Kommentarthema"/>
    <w:semiHidden/>
    <w:rsid w:val="00783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016F-20C4-430D-8A05-4183D781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5442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2017-02-22T09:52:00Z</dcterms:created>
  <dcterms:modified xsi:type="dcterms:W3CDTF">2017-02-22T09:52:00Z</dcterms:modified>
</cp:coreProperties>
</file>